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rPr>
          <w:rFonts w:cs="Arial"/>
        </w:rPr>
        <w:jc w:val="center"/>
      </w:pPr>
      <w:r w:rsidRPr="008B6C93">
        <w:rPr>
          <w:rFonts w:cs="Arial"/>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rPr>
          <w:rFonts w:ascii="Arial" w:hAnsi="Arial" w:cs="Arial"/>
          <w:b w:val="0"/>
          <w:sz w:val="22"/>
          <w:szCs w:val="22"/>
        </w:rPr>
        <w:jc w:val="center"/>
      </w:pPr>
      <w:r w:rsidRPr="008B6C93">
        <w:rPr>
          <w:rFonts w:ascii="Arial" w:hAnsi="Arial" w:cs="Arial"/>
          <w:b w:val="0"/>
          <w:sz w:val="22"/>
          <w:szCs w:val="22"/>
        </w:rPr>
        <w:t>Oranjemund College</w:t>
      </w:r>
    </w:p>
    <w:p w14:paraId="6805B60F" w14:textId="63BDF884" w:rsidR="008F64FC" w:rsidRPr="008B6C93" w:rsidRDefault="008F64FC" w:rsidP="008F64FC">
      <w:pPr>
        <w:rPr>
          <w:rFonts w:cs="Arial"/>
        </w:rPr>
        <w:jc w:val="center"/>
      </w:pPr>
      <w:r>
        <w:rPr>
          <w:rFonts w:cs="Arial"/>
        </w:rPr>
        <w:t xml:space="preserve">Certificate in Mineral Processing Operations (Level 4)</w:t>
      </w:r>
    </w:p>
    <w:p w14:paraId="0DB2D636" w14:textId="77777777" w:rsidR="00C65B51" w:rsidRPr="008B6C93" w:rsidRDefault="00000000">
      <w:pPr>
        <w:pStyle w:val="Subtitle"/>
        <w:rPr>
          <w:rFonts w:ascii="Arial" w:hAnsi="Arial" w:cs="Arial"/>
          <w:sz w:val="22"/>
          <w:szCs w:val="22"/>
        </w:rPr>
        <w:jc w:val="center"/>
      </w:pPr>
      <w:r w:rsidRPr="008B6C93">
        <w:rPr>
          <w:rFonts w:ascii="Arial" w:hAnsi="Arial" w:cs="Arial"/>
          <w:sz w:val="22"/>
          <w:szCs w:val="22"/>
        </w:rPr>
        <w:t>Qualification Structure</w:t>
      </w:r>
    </w:p>
    <w:p w14:paraId="20D07DEE" w14:textId="566C1FBD" w:rsidR="00C65B51" w:rsidRPr="008B6C93" w:rsidRDefault="00C65B51" w:rsidP="008F64FC">
      <w:pPr>
        <w:pStyle w:val="Title"/>
        <w:rPr>
          <w:rFonts w:ascii="Arial" w:hAnsi="Arial" w:cs="Arial"/>
          <w:b w:val="0"/>
          <w:sz w:val="22"/>
          <w:szCs w:val="22"/>
        </w:rPr>
        <w:spacing w:after="120"/>
      </w:pPr>
    </w:p>
    <w:tbl>
      <w:tblPr>
        <w:tblLook w:val="0000" w:firstRow="0" w:lastRow="0" w:firstColumn="0" w:lastColumn="0" w:noHBand="0" w:noVBand="0"/>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139"/>
        <w:gridCol w:w="2694"/>
        <w:gridCol w:w="2948"/>
      </w:tblGrid>
      <w:tr w:rsidR="008F64FC" w:rsidRPr="008B6C93" w14:paraId="1038B9DF" w14:textId="77777777" w:rsidTr="00373D14">
        <w:trPr>
          <w:trHeight w:val="223"/>
          <w:cantSplit/>
        </w:trPr>
        <w:tc>
          <w:tcPr>
            <w:gridSpan w:val="3"/>
            <w:tcW w:w="9781" w:type="dxa"/>
            <w:tcBorders>
              <w:top w:val="single" w:sz="4" w:space="0" w:color="501549"/>
              <w:left w:val="single" w:sz="4" w:space="0" w:color="501549"/>
              <w:bottom w:val="single" w:sz="4" w:space="0" w:color="501549"/>
              <w:right w:val="single" w:sz="4" w:space="0" w:color="501549"/>
            </w:tcBorders>
          </w:tcPr>
          <w:p w14:paraId="74984269" w14:textId="40A521FD" w:rsidR="008F64FC" w:rsidRPr="008B6C93" w:rsidRDefault="008F64FC" w:rsidP="008F64FC">
            <w:pPr>
              <w:pStyle w:val="Title"/>
              <w:rPr>
                <w:rFonts w:ascii="Arial" w:hAnsi="Arial" w:cs="Arial"/>
                <w:bCs/>
                <w:sz w:val="22"/>
                <w:szCs w:val="22"/>
              </w:rPr>
              <w:keepNext/>
              <w:jc w:val="center"/>
              <w:spacing w:after="120"/>
            </w:pPr>
            <w:r>
              <w:rPr>
                <w:rFonts w:ascii="Arial" w:hAnsi="Arial" w:cs="Arial"/>
                <w:bCs/>
                <w:sz w:val="22"/>
                <w:szCs w:val="22"/>
              </w:rPr>
              <w:t xml:space="preserve">Certificate in Mineral Processing Operations (Level 4)</w:t>
            </w:r>
          </w:p>
        </w:tc>
      </w:tr>
      <w:tr w:rsidR="008F64FC" w:rsidRPr="008B6C93" w14:paraId="372686C7" w14:textId="77777777" w:rsidTr="00373D14">
        <w:trPr>
          <w:trHeight w:val="277"/>
          <w:cantSplit/>
        </w:trPr>
        <w:tc>
          <w:tcPr>
            <w:tcW w:w="4139" w:type="dxa"/>
            <w:tcBorders>
              <w:top w:val="single" w:sz="4" w:space="0" w:color="501549"/>
              <w:left w:val="nil"/>
              <w:bottom w:val="nil"/>
              <w:right w:val="nil"/>
            </w:tcBorders>
          </w:tcPr>
          <w:p w14:paraId="6B3F5FEC" w14:textId="77777777" w:rsidR="008F64FC" w:rsidRPr="008B6C93" w:rsidRDefault="008F64FC" w:rsidP="008862B1">
            <w:pPr>
              <w:pStyle w:val="Default"/>
              <w:contextualSpacing/>
              <w:rPr>
                <w:rFonts w:ascii="Arial" w:hAnsi="Arial" w:cs="Arial"/>
                <w:sz w:val="22"/>
                <w:szCs w:val="22"/>
                <w:lang w:val="en-US"/>
              </w:rPr>
            </w:pPr>
          </w:p>
        </w:tc>
        <w:tc>
          <w:tcPr>
            <w:tcW w:w="2694" w:type="dxa"/>
            <w:tcBorders>
              <w:top w:val="single" w:sz="4" w:space="0" w:color="501549"/>
              <w:left w:val="nil"/>
              <w:bottom w:val="nil"/>
              <w:right w:val="nil"/>
            </w:tcBorders>
          </w:tcPr>
          <w:p w14:paraId="794FDE9C" w14:textId="77777777" w:rsidR="008F64FC" w:rsidRPr="008B6C93" w:rsidRDefault="008F64FC" w:rsidP="008862B1">
            <w:pPr>
              <w:pStyle w:val="Default"/>
              <w:contextualSpacing/>
              <w:rPr>
                <w:rFonts w:ascii="Arial" w:eastAsia="Arial" w:hAnsi="Arial" w:cs="Arial"/>
                <w:sz w:val="22"/>
                <w:szCs w:val="22"/>
                <w:lang w:val="en-US"/>
              </w:rPr>
            </w:pPr>
          </w:p>
        </w:tc>
        <w:tc>
          <w:tcPr>
            <w:tcW w:w="2948" w:type="dxa"/>
            <w:tcBorders>
              <w:top w:val="single" w:sz="4" w:space="0" w:color="501549"/>
              <w:left w:val="nil"/>
              <w:bottom w:val="nil"/>
              <w:right w:val="nil"/>
            </w:tcBorders>
          </w:tcPr>
          <w:p w14:paraId="081C0CDF" w14:textId="77777777" w:rsidR="008F64FC" w:rsidRPr="008B6C93" w:rsidRDefault="008F64FC" w:rsidP="008862B1">
            <w:pPr>
              <w:pStyle w:val="Default"/>
              <w:contextualSpacing/>
              <w:rPr>
                <w:rFonts w:ascii="Arial" w:eastAsia="Arial" w:hAnsi="Arial" w:cs="Arial"/>
                <w:sz w:val="22"/>
                <w:szCs w:val="22"/>
                <w:lang w:val="en-US"/>
              </w:rPr>
            </w:pPr>
          </w:p>
        </w:tc>
      </w:tr>
      <w:tr w:rsidR="008F64FC" w:rsidRPr="008B6C93" w14:paraId="6789A94B" w14:textId="77777777" w:rsidTr="00373D14">
        <w:trPr>
          <w:cantSplit/>
        </w:trPr>
        <w:tc>
          <w:tcPr>
            <w:tcW w:w="4139" w:type="dxa"/>
            <w:tcBorders>
              <w:top w:val="nil"/>
              <w:left w:val="nil"/>
              <w:bottom w:val="nil"/>
              <w:right w:val="nil"/>
            </w:tcBorders>
          </w:tcPr>
          <w:p w14:paraId="5C0D49DF" w14:textId="77777777" w:rsidR="008F64FC" w:rsidRPr="008B6C93" w:rsidRDefault="008F64FC" w:rsidP="008862B1">
            <w:pPr>
              <w:contextualSpacing/>
              <w:rPr>
                <w:rFonts w:cs="Arial"/>
              </w:rPr>
              <w:jc w:val="both"/>
              <w:ind w:hanging="114"/>
            </w:pPr>
            <w:r w:rsidRPr="008B6C93">
              <w:rPr>
                <w:rFonts w:cs="Arial"/>
              </w:rPr>
              <w:t>Field:</w:t>
            </w:r>
            <w:r w:rsidRPr="008B6C93">
              <w:rPr>
                <w:rStyle w:val="FootnoteReference"/>
                <w:rFonts w:cs="Arial"/>
              </w:rPr>
              <w:footnoteReference w:id="1"/>
            </w:r>
            <w:r w:rsidRPr="008B6C93">
              <w:rPr>
                <w:rFonts w:cs="Arial"/>
              </w:rPr>
              <w:t xml:space="preserve"> </w:t>
            </w:r>
            <w:r w:rsidRPr="008B6C93">
              <w:rPr>
                <w:rFonts w:cs="Arial"/>
              </w:rPr>
              <w:tab/>
            </w:r>
          </w:p>
        </w:tc>
        <w:tc>
          <w:tcPr>
            <w:gridSpan w:val="2"/>
            <w:tcW w:w="5642" w:type="dxa"/>
            <w:tcBorders>
              <w:top w:val="nil"/>
              <w:left w:val="nil"/>
              <w:bottom w:val="nil"/>
              <w:right w:val="nil"/>
            </w:tcBorders>
          </w:tcPr>
          <w:p w14:paraId="04D7D817" w14:textId="751B8214" w:rsidR="008F64FC" w:rsidRPr="008B6C93" w:rsidRDefault="008F64FC" w:rsidP="008F64FC">
            <w:pPr>
              <w:rPr>
                <w:rFonts w:cs="Arial"/>
              </w:rPr>
              <w:spacing w:before="20" w:after="20" w:line="240" w:lineRule="auto"/>
            </w:pPr>
            <w:r>
              <w:rPr>
                <w:rFonts w:cs="Arial"/>
              </w:rPr>
              <w:t xml:space="preserve">Manufacturing, Engineering and Technology</w:t>
            </w:r>
          </w:p>
        </w:tc>
      </w:tr>
      <w:tr w:rsidR="008F64FC" w:rsidRPr="008B6C93" w14:paraId="196F940D" w14:textId="77777777" w:rsidTr="00373D14">
        <w:trPr>
          <w:cantSplit/>
        </w:trPr>
        <w:tc>
          <w:tcPr>
            <w:tcW w:w="4139" w:type="dxa"/>
            <w:tcBorders>
              <w:top w:val="nil"/>
              <w:left w:val="nil"/>
              <w:bottom w:val="nil"/>
              <w:right w:val="nil"/>
            </w:tcBorders>
          </w:tcPr>
          <w:p w14:paraId="27309244" w14:textId="77777777" w:rsidR="008F64FC" w:rsidRPr="008B6C93" w:rsidRDefault="008F64FC" w:rsidP="008862B1">
            <w:pPr>
              <w:contextualSpacing/>
              <w:rPr>
                <w:rFonts w:cs="Arial"/>
              </w:rPr>
              <w:jc w:val="both"/>
              <w:ind w:hanging="114"/>
            </w:pPr>
            <w:r w:rsidRPr="008B6C93">
              <w:rPr>
                <w:rFonts w:cs="Arial"/>
              </w:rPr>
              <w:t>Qualification Code:</w:t>
            </w:r>
            <w:r w:rsidRPr="008B6C93">
              <w:rPr>
                <w:rStyle w:val="FootnoteReference"/>
                <w:rFonts w:cs="Arial"/>
              </w:rPr>
              <w:footnoteReference w:id="2"/>
            </w:r>
          </w:p>
        </w:tc>
        <w:tc>
          <w:tcPr>
            <w:tcW w:w="2694" w:type="dxa"/>
            <w:tcBorders>
              <w:top w:val="nil"/>
              <w:left w:val="nil"/>
              <w:bottom w:val="nil"/>
              <w:right w:val="nil"/>
            </w:tcBorders>
          </w:tcPr>
          <w:p w14:paraId="0D680363" w14:textId="1B76879A" w:rsidR="008F64FC" w:rsidRPr="008B6C93" w:rsidRDefault="008F64FC" w:rsidP="008862B1">
            <w:pPr>
              <w:contextualSpacing/>
              <w:rPr>
                <w:rFonts w:eastAsia="Arial" w:cs="Arial"/>
              </w:rPr>
              <w:tabs>
                <w:tab w:val="left" w:pos="3970"/>
                <w:tab w:val="left" w:pos="6237"/>
              </w:tabs>
            </w:pPr>
            <w:r>
              <w:rPr>
                <w:rFonts w:eastAsia="Arial" w:cs="Arial"/>
              </w:rPr>
              <w:t xml:space="preserve">CMPO-4001</w:t>
            </w:r>
          </w:p>
        </w:tc>
        <w:tc>
          <w:tcPr>
            <w:tcW w:w="2948" w:type="dxa"/>
            <w:tcBorders>
              <w:top w:val="nil"/>
              <w:left w:val="nil"/>
              <w:bottom w:val="nil"/>
              <w:right w:val="nil"/>
            </w:tcBorders>
          </w:tcPr>
          <w:p w14:paraId="6A56A7C8"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0A0C7629" w14:textId="77777777" w:rsidTr="00373D14">
        <w:trPr>
          <w:cantSplit/>
        </w:trPr>
        <w:tc>
          <w:tcPr>
            <w:tcW w:w="4139" w:type="dxa"/>
            <w:tcBorders>
              <w:top w:val="nil"/>
              <w:left w:val="nil"/>
              <w:bottom w:val="nil"/>
              <w:right w:val="nil"/>
            </w:tcBorders>
          </w:tcPr>
          <w:p w14:paraId="7E59DD18" w14:textId="6EFE09AC" w:rsidR="008F64FC" w:rsidRPr="008B6C93" w:rsidRDefault="008F64FC" w:rsidP="008862B1">
            <w:pPr>
              <w:contextualSpacing/>
              <w:rPr>
                <w:rFonts w:cs="Arial"/>
              </w:rPr>
              <w:jc w:val="both"/>
              <w:ind w:hanging="114"/>
            </w:pPr>
            <w:r w:rsidRPr="008B6C93">
              <w:rPr>
                <w:rFonts w:cs="Arial"/>
              </w:rPr>
              <w:t>NQF registration ID</w:t>
            </w:r>
            <w:r w:rsidRPr="008B6C93">
              <w:rPr>
                <w:rFonts w:cs="Arial"/>
              </w:rPr>
              <w:t>:</w:t>
            </w:r>
          </w:p>
        </w:tc>
        <w:tc>
          <w:tcPr>
            <w:tcW w:w="2694" w:type="dxa"/>
            <w:tcBorders>
              <w:top w:val="nil"/>
              <w:left w:val="nil"/>
              <w:bottom w:val="nil"/>
              <w:right w:val="nil"/>
            </w:tcBorders>
          </w:tcPr>
          <w:p w14:paraId="5883CF56" w14:textId="3F897113" w:rsidR="008F64FC" w:rsidRPr="008B6C93" w:rsidRDefault="008F64FC" w:rsidP="008862B1">
            <w:pPr>
              <w:contextualSpacing/>
              <w:rPr>
                <w:rFonts w:eastAsia="Arial" w:cs="Arial"/>
              </w:rPr>
              <w:tabs>
                <w:tab w:val="left" w:pos="3970"/>
                <w:tab w:val="left" w:pos="6237"/>
              </w:tabs>
            </w:pPr>
            <w:r w:rsidRPr="008B6C93">
              <w:rPr>
                <w:rFonts w:eastAsia="Arial" w:cs="Arial"/>
              </w:rPr>
              <w:t>TBA</w:t>
            </w:r>
          </w:p>
        </w:tc>
        <w:tc>
          <w:tcPr>
            <w:tcW w:w="2948" w:type="dxa"/>
            <w:tcBorders>
              <w:top w:val="nil"/>
              <w:left w:val="nil"/>
              <w:bottom w:val="nil"/>
              <w:right w:val="nil"/>
            </w:tcBorders>
          </w:tcPr>
          <w:p w14:paraId="53B60C8E"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7AB93721" w14:textId="77777777" w:rsidTr="00373D14">
        <w:trPr>
          <w:cantSplit/>
        </w:trPr>
        <w:tc>
          <w:tcPr>
            <w:tcW w:w="4139" w:type="dxa"/>
            <w:tcBorders>
              <w:top w:val="nil"/>
              <w:left w:val="nil"/>
              <w:bottom w:val="nil"/>
              <w:right w:val="nil"/>
            </w:tcBorders>
            <w:vAlign w:val="center"/>
          </w:tcPr>
          <w:p w14:paraId="1673DA21" w14:textId="554FBF36" w:rsidR="008F64FC" w:rsidRPr="008B6C93" w:rsidRDefault="008F64FC" w:rsidP="008F64FC">
            <w:pPr>
              <w:contextualSpacing/>
              <w:rPr>
                <w:rFonts w:cs="Arial"/>
              </w:rPr>
              <w:jc w:val="both"/>
              <w:ind w:hanging="114"/>
            </w:pPr>
            <w:r w:rsidRPr="008B6C93">
              <w:rPr>
                <w:rFonts w:cs="Arial"/>
              </w:rPr>
              <w:t>Duration and delivery</w:t>
            </w:r>
          </w:p>
        </w:tc>
        <w:tc>
          <w:tcPr>
            <w:gridSpan w:val="2"/>
            <w:tcW w:w="5642" w:type="dxa"/>
            <w:tcBorders>
              <w:top w:val="nil"/>
              <w:left w:val="nil"/>
              <w:bottom w:val="nil"/>
              <w:right w:val="nil"/>
            </w:tcBorders>
            <w:vAlign w:val="center"/>
          </w:tcPr>
          <w:p w14:paraId="61BF15EE" w14:textId="34631BF7" w:rsidR="008F64FC" w:rsidRPr="008B6C93" w:rsidRDefault="008F64FC" w:rsidP="008F64FC">
            <w:pPr>
              <w:rPr>
                <w:rFonts w:cs="Arial"/>
              </w:rPr>
              <w:spacing w:before="20" w:after="20" w:line="240" w:lineRule="auto"/>
            </w:pPr>
            <w:r w:rsidRPr="008B6C93">
              <w:rPr>
                <w:rFonts w:cs="Arial"/>
              </w:rPr>
              <w:t>Full-time: one academic year, two semesters. Part-time: extended calendar, with the same 80 credits and 800 notional hours. Full-time, part-time and blended delivery; fully synchronous online or distance learning where suitable for the course outcomes. Required hands-on practical learning and competency assessments remain supervised at suitable College or partner facilities.</w:t>
            </w:r>
          </w:p>
        </w:tc>
      </w:tr>
      <w:tr w:rsidR="008F64FC" w:rsidRPr="008B6C93" w14:paraId="0125F763" w14:textId="77777777" w:rsidTr="00373D14">
        <w:trPr>
          <w:cantSplit/>
        </w:trPr>
        <w:tc>
          <w:tcPr>
            <w:tcW w:w="4139" w:type="dxa"/>
            <w:tcBorders>
              <w:top w:val="nil"/>
              <w:left w:val="nil"/>
              <w:bottom w:val="nil"/>
              <w:right w:val="nil"/>
            </w:tcBorders>
            <w:vAlign w:val="center"/>
          </w:tcPr>
          <w:p w14:paraId="2E84EDDE" w14:textId="3BB53686" w:rsidR="008F64FC" w:rsidRPr="008B6C93" w:rsidRDefault="008F64FC" w:rsidP="008F64FC">
            <w:pPr>
              <w:contextualSpacing/>
              <w:rPr>
                <w:rFonts w:cs="Arial"/>
              </w:rPr>
              <w:jc w:val="both"/>
              <w:ind w:hanging="114"/>
            </w:pPr>
            <w:r w:rsidRPr="008B6C93">
              <w:rPr>
                <w:rFonts w:cs="Arial"/>
              </w:rPr>
              <w:t>Campus</w:t>
            </w:r>
          </w:p>
        </w:tc>
        <w:tc>
          <w:tcPr>
            <w:gridSpan w:val="2"/>
            <w:tcW w:w="5642" w:type="dxa"/>
            <w:tcBorders>
              <w:top w:val="nil"/>
              <w:left w:val="nil"/>
              <w:bottom w:val="nil"/>
              <w:right w:val="nil"/>
            </w:tcBorders>
            <w:vAlign w:val="center"/>
          </w:tcPr>
          <w:p w14:paraId="4C58AE5D" w14:textId="59348FDF" w:rsidR="008F64FC" w:rsidRPr="008B6C93" w:rsidRDefault="008F64FC" w:rsidP="008F64FC">
            <w:pPr>
              <w:rPr>
                <w:rFonts w:cs="Arial"/>
              </w:rPr>
              <w:spacing w:before="20" w:after="20" w:line="240" w:lineRule="auto"/>
            </w:pPr>
            <w:r w:rsidRPr="008B6C93">
              <w:rPr>
                <w:rFonts w:cs="Arial"/>
              </w:rPr>
              <w:t>Oranjemund, //Kharas Region, Namibia</w:t>
            </w:r>
          </w:p>
        </w:tc>
      </w:tr>
      <w:tr w:rsidR="008F64FC" w:rsidRPr="008B6C93" w14:paraId="62551673" w14:textId="77777777" w:rsidTr="00373D14">
        <w:trPr>
          <w:cantSplit/>
        </w:trPr>
        <w:tc>
          <w:tcPr>
            <w:tcW w:w="4139" w:type="dxa"/>
            <w:tcBorders>
              <w:top w:val="nil"/>
              <w:left w:val="nil"/>
              <w:bottom w:val="nil"/>
              <w:right w:val="nil"/>
            </w:tcBorders>
          </w:tcPr>
          <w:p w14:paraId="688F7BE1" w14:textId="77777777" w:rsidR="008F64FC" w:rsidRPr="008B6C93" w:rsidRDefault="008F64FC" w:rsidP="008F64FC">
            <w:pPr>
              <w:contextualSpacing/>
              <w:rPr>
                <w:rFonts w:cs="Arial"/>
              </w:rPr>
              <w:jc w:val="both"/>
              <w:ind w:hanging="114"/>
            </w:pPr>
            <w:r w:rsidRPr="008B6C93">
              <w:rPr>
                <w:rFonts w:cs="Arial"/>
              </w:rPr>
              <w:t>Level of qualification:</w:t>
            </w:r>
            <w:r w:rsidRPr="008B6C93">
              <w:rPr>
                <w:rStyle w:val="FootnoteReference"/>
                <w:rFonts w:cs="Arial"/>
              </w:rPr>
              <w:footnoteReference w:id="3"/>
            </w:r>
          </w:p>
        </w:tc>
        <w:tc>
          <w:tcPr>
            <w:tcW w:w="2694" w:type="dxa"/>
            <w:tcBorders>
              <w:top w:val="nil"/>
              <w:left w:val="nil"/>
              <w:bottom w:val="nil"/>
              <w:right w:val="nil"/>
            </w:tcBorders>
          </w:tcPr>
          <w:p w14:paraId="639059AD" w14:textId="77777777" w:rsidR="008F64FC" w:rsidRPr="008B6C93" w:rsidRDefault="008F64FC" w:rsidP="008F64FC">
            <w:pPr>
              <w:contextualSpacing/>
              <w:rPr>
                <w:rFonts w:eastAsia="Arial" w:cs="Arial"/>
              </w:rPr>
              <w:tabs>
                <w:tab w:val="left" w:pos="3970"/>
                <w:tab w:val="left" w:pos="6237"/>
              </w:tabs>
            </w:pPr>
            <w:r w:rsidRPr="008B6C93">
              <w:rPr>
                <w:rFonts w:eastAsia="Arial" w:cs="Arial"/>
              </w:rPr>
              <w:t>4</w:t>
            </w:r>
          </w:p>
        </w:tc>
        <w:tc>
          <w:tcPr>
            <w:tcW w:w="2948" w:type="dxa"/>
            <w:tcBorders>
              <w:top w:val="nil"/>
              <w:left w:val="nil"/>
              <w:bottom w:val="nil"/>
              <w:right w:val="nil"/>
            </w:tcBorders>
          </w:tcPr>
          <w:p w14:paraId="33CD341D"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266D0A72" w14:textId="77777777" w:rsidTr="00373D14">
        <w:trPr>
          <w:cantSplit/>
        </w:trPr>
        <w:tc>
          <w:tcPr>
            <w:tcW w:w="4139" w:type="dxa"/>
            <w:tcBorders>
              <w:top w:val="nil"/>
              <w:left w:val="nil"/>
              <w:bottom w:val="nil"/>
              <w:right w:val="nil"/>
            </w:tcBorders>
          </w:tcPr>
          <w:p w14:paraId="754B126A" w14:textId="77777777" w:rsidR="008F64FC" w:rsidRPr="008B6C93" w:rsidRDefault="008F64FC" w:rsidP="008F64FC">
            <w:pPr>
              <w:contextualSpacing/>
              <w:rPr>
                <w:rFonts w:cs="Arial"/>
              </w:rPr>
              <w:jc w:val="both"/>
              <w:ind w:hanging="114"/>
            </w:pPr>
            <w:r w:rsidRPr="008B6C93">
              <w:rPr>
                <w:rFonts w:cs="Arial"/>
              </w:rPr>
              <w:t>Total credits available:</w:t>
            </w:r>
            <w:r w:rsidRPr="008B6C93">
              <w:rPr>
                <w:rStyle w:val="FootnoteReference"/>
                <w:rFonts w:cs="Arial"/>
              </w:rPr>
              <w:footnoteReference w:id="4"/>
            </w:r>
          </w:p>
        </w:tc>
        <w:tc>
          <w:tcPr>
            <w:tcW w:w="2694" w:type="dxa"/>
            <w:tcBorders>
              <w:top w:val="nil"/>
              <w:left w:val="nil"/>
              <w:bottom w:val="nil"/>
              <w:right w:val="nil"/>
            </w:tcBorders>
          </w:tcPr>
          <w:p w14:paraId="5C0E6823" w14:textId="0D85228E"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2FBDFBAE"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102BBC9A" w14:textId="77777777" w:rsidTr="00373D14">
        <w:trPr>
          <w:cantSplit/>
        </w:trPr>
        <w:tc>
          <w:tcPr>
            <w:tcW w:w="4139" w:type="dxa"/>
            <w:tcBorders>
              <w:top w:val="nil"/>
              <w:left w:val="nil"/>
              <w:bottom w:val="nil"/>
              <w:right w:val="nil"/>
            </w:tcBorders>
          </w:tcPr>
          <w:p w14:paraId="40366EC9" w14:textId="77777777" w:rsidR="008F64FC" w:rsidRPr="008B6C93" w:rsidRDefault="008F64FC" w:rsidP="008F64FC">
            <w:pPr>
              <w:contextualSpacing/>
              <w:rPr>
                <w:rFonts w:cs="Arial"/>
              </w:rPr>
              <w:jc w:val="both"/>
              <w:ind w:hanging="114"/>
            </w:pPr>
            <w:r w:rsidRPr="008B6C93">
              <w:rPr>
                <w:rFonts w:cs="Arial"/>
              </w:rPr>
              <w:t>Total credits required:</w:t>
            </w:r>
            <w:r w:rsidRPr="008B6C93">
              <w:rPr>
                <w:rStyle w:val="FootnoteReference"/>
                <w:rFonts w:cs="Arial"/>
              </w:rPr>
              <w:footnoteReference w:id="5"/>
            </w:r>
          </w:p>
        </w:tc>
        <w:tc>
          <w:tcPr>
            <w:tcW w:w="2694" w:type="dxa"/>
            <w:tcBorders>
              <w:top w:val="nil"/>
              <w:left w:val="nil"/>
              <w:bottom w:val="nil"/>
              <w:right w:val="nil"/>
            </w:tcBorders>
          </w:tcPr>
          <w:p w14:paraId="0344F7C7" w14:textId="4A896FC3"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07E25035"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50774F81" w14:textId="77777777" w:rsidTr="00373D14">
        <w:trPr>
          <w:cantSplit/>
        </w:trPr>
        <w:tc>
          <w:tcPr>
            <w:tcW w:w="4139" w:type="dxa"/>
            <w:tcBorders>
              <w:top w:val="nil"/>
              <w:left w:val="nil"/>
              <w:bottom w:val="nil"/>
              <w:right w:val="nil"/>
            </w:tcBorders>
          </w:tcPr>
          <w:p w14:paraId="78EF2504" w14:textId="77777777" w:rsidR="008F64FC" w:rsidRPr="008B6C93" w:rsidRDefault="008F64FC" w:rsidP="008F64FC">
            <w:pPr>
              <w:pStyle w:val="Default"/>
              <w:contextualSpacing/>
              <w:rPr>
                <w:rFonts w:ascii="Arial" w:hAnsi="Arial" w:cs="Arial"/>
                <w:sz w:val="22"/>
                <w:szCs w:val="22"/>
                <w:lang w:val="en-US"/>
              </w:rPr>
            </w:pPr>
          </w:p>
        </w:tc>
        <w:tc>
          <w:tcPr>
            <w:tcW w:w="2694" w:type="dxa"/>
            <w:tcBorders>
              <w:top w:val="nil"/>
              <w:left w:val="nil"/>
              <w:bottom w:val="single" w:sz="4" w:space="0" w:color="auto"/>
              <w:right w:val="nil"/>
            </w:tcBorders>
          </w:tcPr>
          <w:p w14:paraId="096C0D8B" w14:textId="77777777" w:rsidR="008F64FC" w:rsidRPr="008B6C93" w:rsidRDefault="008F64FC" w:rsidP="008F64FC">
            <w:pPr>
              <w:pStyle w:val="Default"/>
              <w:contextualSpacing/>
              <w:rPr>
                <w:rFonts w:ascii="Arial" w:eastAsia="Arial" w:hAnsi="Arial" w:cs="Arial"/>
                <w:sz w:val="22"/>
                <w:szCs w:val="22"/>
                <w:lang w:val="en-US"/>
              </w:rPr>
            </w:pPr>
          </w:p>
        </w:tc>
        <w:tc>
          <w:tcPr>
            <w:tcW w:w="2948" w:type="dxa"/>
            <w:tcBorders>
              <w:top w:val="nil"/>
              <w:left w:val="nil"/>
              <w:bottom w:val="single" w:sz="4" w:space="0" w:color="auto"/>
              <w:right w:val="nil"/>
            </w:tcBorders>
          </w:tcPr>
          <w:p w14:paraId="11504BC4" w14:textId="77777777" w:rsidR="008F64FC" w:rsidRPr="008B6C93" w:rsidRDefault="008F64FC" w:rsidP="008F64FC">
            <w:pPr>
              <w:pStyle w:val="Default"/>
              <w:contextualSpacing/>
              <w:rPr>
                <w:rFonts w:ascii="Arial" w:eastAsia="Arial" w:hAnsi="Arial" w:cs="Arial"/>
                <w:sz w:val="22"/>
                <w:szCs w:val="22"/>
                <w:lang w:val="en-US"/>
              </w:rPr>
            </w:pPr>
          </w:p>
        </w:tc>
      </w:tr>
      <w:tr w:rsidR="008F64FC" w:rsidRPr="008B6C93" w14:paraId="70229A20" w14:textId="77777777" w:rsidTr="00373D14">
        <w:trPr>
          <w:trHeight w:val="286"/>
          <w:cantSplit/>
        </w:trPr>
        <w:tc>
          <w:tcPr>
            <w:tcW w:w="4139" w:type="dxa"/>
            <w:tcBorders>
              <w:top w:val="nil"/>
              <w:left w:val="nil"/>
            </w:tcBorders>
          </w:tcPr>
          <w:p w14:paraId="0C31F5A3" w14:textId="77777777" w:rsidR="008F64FC" w:rsidRPr="008B6C93" w:rsidRDefault="008F64FC" w:rsidP="008F64FC">
            <w:pPr>
              <w:contextualSpacing/>
              <w:rPr>
                <w:rFonts w:cs="Arial"/>
              </w:rPr>
              <w:jc w:val="both"/>
              <w:ind w:hanging="114"/>
            </w:pPr>
          </w:p>
        </w:tc>
        <w:tc>
          <w:tcPr>
            <w:tcW w:w="2694" w:type="dxa"/>
            <w:tcBorders>
              <w:top w:val="single" w:sz="4" w:space="0" w:color="auto"/>
            </w:tcBorders>
          </w:tcPr>
          <w:p w14:paraId="73A925A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Compulsory</w:t>
            </w:r>
          </w:p>
        </w:tc>
        <w:tc>
          <w:tcPr>
            <w:tcW w:w="2948" w:type="dxa"/>
            <w:tcBorders>
              <w:top w:val="single" w:sz="4" w:space="0" w:color="auto"/>
            </w:tcBorders>
          </w:tcPr>
          <w:p w14:paraId="3B16AE1E"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Elective</w:t>
            </w:r>
          </w:p>
        </w:tc>
      </w:tr>
      <w:tr w:rsidR="008F64FC" w:rsidRPr="008B6C93" w14:paraId="719BA1F4" w14:textId="77777777" w:rsidTr="00373D14">
        <w:trPr>
          <w:cantSplit/>
        </w:trPr>
        <w:tc>
          <w:tcPr>
            <w:tcW w:w="4139" w:type="dxa"/>
          </w:tcPr>
          <w:p w14:paraId="7A7FA6AC"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Level 4 credits:</w:t>
            </w:r>
          </w:p>
        </w:tc>
        <w:tc>
          <w:tcPr>
            <w:tcW w:w="2694" w:type="dxa"/>
            <w:vAlign w:val="bottom"/>
          </w:tcPr>
          <w:p w14:paraId="0E2A07A7" w14:textId="59EDF216" w:rsidR="008F64FC" w:rsidRPr="008B6C93" w:rsidRDefault="008F64FC" w:rsidP="008F64FC">
            <w:pPr>
              <w:contextualSpacing/>
              <w:rPr>
                <w:rFonts w:eastAsia="Arial" w:cs="Arial"/>
              </w:rPr>
              <w:jc w:val="center"/>
            </w:pPr>
            <w:r w:rsidRPr="008B6C93">
              <w:rPr>
                <w:rFonts w:eastAsia="Arial" w:cs="Arial"/>
              </w:rPr>
              <w:t>80</w:t>
            </w:r>
          </w:p>
        </w:tc>
        <w:tc>
          <w:tcPr>
            <w:tcW w:w="2948" w:type="dxa"/>
          </w:tcPr>
          <w:p w14:paraId="7D744C2F"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r w:rsidR="008F64FC" w:rsidRPr="008B6C93" w14:paraId="4CC2FF3A" w14:textId="77777777" w:rsidTr="00373D14">
        <w:trPr>
          <w:cantSplit/>
        </w:trPr>
        <w:tc>
          <w:tcPr>
            <w:tcW w:w="4139" w:type="dxa"/>
          </w:tcPr>
          <w:p w14:paraId="7AA109A5"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Minimum total credits required:</w:t>
            </w:r>
          </w:p>
        </w:tc>
        <w:tc>
          <w:tcPr>
            <w:tcW w:w="2694" w:type="dxa"/>
          </w:tcPr>
          <w:p w14:paraId="0EFBF076" w14:textId="1EB09F09" w:rsidR="008F64FC" w:rsidRPr="008B6C93" w:rsidRDefault="008F64FC" w:rsidP="008F64FC">
            <w:pPr>
              <w:contextualSpacing/>
              <w:rPr>
                <w:rFonts w:eastAsia="Arial" w:cs="Arial"/>
              </w:rPr>
              <w:jc w:val="center"/>
              <w:tabs>
                <w:tab w:val="left" w:pos="3970"/>
                <w:tab w:val="left" w:pos="6237"/>
              </w:tabs>
            </w:pPr>
            <w:r w:rsidRPr="008B6C93">
              <w:rPr>
                <w:rFonts w:eastAsia="Arial" w:cs="Arial"/>
              </w:rPr>
              <w:t>80</w:t>
            </w:r>
          </w:p>
        </w:tc>
        <w:tc>
          <w:tcPr>
            <w:tcW w:w="2948" w:type="dxa"/>
          </w:tcPr>
          <w:p w14:paraId="7244998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bl>
    <w:p w14:paraId="60AE9BAB" w14:textId="77777777" w:rsidR="008F64FC" w:rsidRPr="008B6C93" w:rsidRDefault="008F64FC" w:rsidP="008F64FC">
      <w:pPr>
        <w:rPr>
          <w:rFonts w:cs="Arial"/>
        </w:rPr>
      </w:pPr>
    </w:p>
    <w:p w14:paraId="090A45E8" w14:textId="6B5D8F09" w:rsidR="00885E26" w:rsidRPr="008B6C93" w:rsidRDefault="00BA2940" w:rsidP="008F64FC">
      <w:pPr>
        <w:rPr>
          <w:rFonts w:cs="Arial"/>
        </w:rPr>
      </w:pPr>
      <w:r w:rsidRPr="008B6C93">
        <w:rPr>
          <w:rFonts w:cs="Arial"/>
        </w:rPr>
        <w:t xml:space="preserve">            </w:t>
      </w:r>
    </w:p>
    <w:p w14:paraId="2FA33132" w14:textId="77777777" w:rsidR="00885E26" w:rsidRPr="008B6C93" w:rsidRDefault="00885E26" w:rsidP="008F64FC">
      <w:pPr>
        <w:rPr>
          <w:rFonts w:cs="Arial"/>
        </w:rPr>
      </w:pPr>
    </w:p>
    <w:p w14:paraId="63153F7B" w14:textId="77777777" w:rsidR="00885E26" w:rsidRPr="008B6C93" w:rsidRDefault="00885E26" w:rsidP="008F64FC">
      <w:pPr>
        <w:rPr>
          <w:rFonts w:cs="Arial"/>
        </w:rPr>
      </w:pPr>
    </w:p>
    <w:p w14:paraId="1798D742" w14:textId="77777777" w:rsidR="00885E26" w:rsidRPr="008B6C93" w:rsidRDefault="00885E26" w:rsidP="008F64FC">
      <w:pPr>
        <w:rPr>
          <w:rFonts w:cs="Arial"/>
        </w:rPr>
      </w:pPr>
    </w:p>
    <w:p w14:paraId="1513EB52" w14:textId="77777777" w:rsidR="00885E26" w:rsidRPr="008B6C93" w:rsidRDefault="00885E26" w:rsidP="008F64FC">
      <w:pPr>
        <w:rPr>
          <w:rFonts w:cs="Arial"/>
        </w:rPr>
      </w:pPr>
    </w:p>
    <w:p w14:paraId="427624DD" w14:textId="77777777" w:rsidR="00885E26" w:rsidRPr="008B6C93" w:rsidRDefault="00885E26" w:rsidP="008F64FC">
      <w:pPr>
        <w:rPr>
          <w:rFonts w:cs="Arial"/>
        </w:rPr>
      </w:pPr>
    </w:p>
    <w:p w14:paraId="0E13BA05" w14:textId="77777777" w:rsidR="00885E26" w:rsidRPr="008B6C93" w:rsidRDefault="00885E26" w:rsidP="008F64FC">
      <w:pPr>
        <w:rPr>
          <w:rFonts w:cs="Arial"/>
        </w:rPr>
      </w:pPr>
    </w:p>
    <w:p w14:paraId="52D034ED" w14:textId="77777777" w:rsidR="00885E26" w:rsidRPr="008B6C93" w:rsidRDefault="00885E26" w:rsidP="008F64FC">
      <w:pPr>
        <w:rPr>
          <w:rFonts w:cs="Arial"/>
        </w:rPr>
      </w:pPr>
    </w:p>
    <w:p w14:paraId="309B8F4D" w14:textId="77777777" w:rsidR="00885E26" w:rsidRPr="008B6C93" w:rsidRDefault="00885E26" w:rsidP="008F64FC">
      <w:pPr>
        <w:rPr>
          <w:rFonts w:cs="Arial"/>
        </w:rPr>
      </w:pPr>
    </w:p>
    <w:p w14:paraId="4476267C" w14:textId="77777777" w:rsidR="00885E26" w:rsidRPr="008B6C93" w:rsidRDefault="00885E26" w:rsidP="008F64FC">
      <w:pPr>
        <w:rPr>
          <w:rFonts w:cs="Arial"/>
        </w:rPr>
      </w:pPr>
    </w:p>
    <w:p w14:paraId="76AB2C05" w14:textId="77777777" w:rsidR="00885E26" w:rsidRPr="008B6C93" w:rsidRDefault="00885E26" w:rsidP="008F64FC">
      <w:pPr>
        <w:rPr>
          <w:rFonts w:cs="Arial"/>
        </w:rPr>
      </w:pPr>
    </w:p>
    <w:p w14:paraId="573D56B5" w14:textId="77777777" w:rsidR="00885E26" w:rsidRPr="008B6C93" w:rsidRDefault="00885E26" w:rsidP="008F64FC">
      <w:pPr>
        <w:rPr>
          <w:rFonts w:cs="Arial"/>
        </w:rPr>
      </w:pPr>
    </w:p>
    <w:p w14:paraId="2951415F" w14:textId="77777777" w:rsidR="008F64FC" w:rsidRPr="008B6C93" w:rsidRDefault="008F64FC" w:rsidP="008F64FC">
      <w:pPr>
        <w:rPr>
          <w:rFonts w:cs="Arial"/>
        </w:rPr>
      </w:pPr>
    </w:p>
    <w:p w14:paraId="0F921D54" w14:textId="77777777" w:rsidR="00885E26" w:rsidRPr="008B6C93" w:rsidRDefault="00885E26" w:rsidP="00373D14">
      <w:pPr>
        <w:contextualSpacing/>
        <w:rPr>
          <w:rFonts w:cs="Arial"/>
        </w:rPr>
        <w:ind w:left="284"/>
      </w:pPr>
      <w:r w:rsidRPr="008B6C93">
        <w:rPr>
          <w:rFonts w:cs="Arial"/>
          <w:b/>
          <w:bCs/>
        </w:rPr>
        <w:t>Qualification Structure</w:t>
      </w:r>
      <w:r w:rsidRPr="008B6C93">
        <w:rPr>
          <w:rStyle w:val="FootnoteReference"/>
          <w:rFonts w:cs="Arial"/>
        </w:rPr>
        <w:footnoteReference w:id="6"/>
      </w:r>
    </w:p>
    <w:p w14:paraId="737BD742" w14:textId="77777777" w:rsidR="00885E26" w:rsidRPr="008B6C93" w:rsidRDefault="00885E26" w:rsidP="00885E26">
      <w:pPr>
        <w:contextualSpacing/>
        <w:rPr>
          <w:rFonts w:cs="Arial"/>
        </w:rPr>
      </w:pPr>
    </w:p>
    <w:tbl>
      <w:tblPr>
        <w:tblLook w:val="0000" w:firstRow="0" w:lastRow="0" w:firstColumn="0" w:lastColumn="0" w:noHBand="0" w:noVBand="0"/>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446"/>
        <w:gridCol w:w="5783"/>
        <w:gridCol w:w="992"/>
        <w:gridCol w:w="993"/>
      </w:tblGrid>
      <w:tr w:rsidR="00885E26" w:rsidRPr="008B6C93" w14:paraId="05DAF36E" w14:textId="77777777" w:rsidTr="00373D14">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0FE049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tcPr>
          <w:p w14:paraId="5C02502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FC98610"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128FFDC"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CEC71EA"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Credits</w:t>
            </w:r>
          </w:p>
        </w:tc>
      </w:tr>
      <w:tr w:rsidR="00484777" w:rsidRPr="008B6C93" w14:paraId="798A4352"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BB97922" w14:textId="77777777" w:rsidR="00484777" w:rsidRPr="008B6C93" w:rsidRDefault="00484777" w:rsidP="00484777">
            <w:pPr>
              <w:numPr>
                <w:ilvl w:val="0"/>
                <w:numId w:val="13"/>
              </w:numPr>
              <w:contextualSpacing/>
              <w:rPr>
                <w:rFonts w:cs="Arial"/>
              </w:rPr>
              <w:spacing w:after="0" w:line="240" w:lineRule="auto"/>
            </w:pPr>
            <w:r>
              <w:rPr>
                <w:rFonts w:cs="Arial"/>
              </w:rPr>
              <w:t xml:space="preserve">1</w:t>
            </w:r>
          </w:p>
        </w:tc>
        <w:tc>
          <w:tcPr>
            <w:tcW w:w="1446" w:type="dxa"/>
            <w:tcBorders>
              <w:top w:val="single" w:sz="4" w:space="0" w:color="000000"/>
              <w:left w:val="single" w:sz="4" w:space="0" w:color="000000"/>
              <w:bottom w:val="single" w:sz="4" w:space="0" w:color="000000"/>
              <w:right w:val="single" w:sz="4" w:space="0" w:color="000000"/>
            </w:tcBorders>
            <w:vAlign w:val="center"/>
          </w:tcPr>
          <w:p w14:paraId="5568F3B4" w14:textId="12AE36AE"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A1EE0" w14:textId="18B1734A"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Communication and Literacy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5F5317" w14:textId="2FFD652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03596B" w14:textId="7630892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5D558854"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8459EBE" w14:textId="77777777" w:rsidR="00484777" w:rsidRPr="008B6C93" w:rsidRDefault="00484777" w:rsidP="00484777">
            <w:pPr>
              <w:numPr>
                <w:ilvl w:val="0"/>
                <w:numId w:val="13"/>
              </w:numPr>
              <w:contextualSpacing/>
              <w:rPr>
                <w:rFonts w:cs="Arial"/>
              </w:rPr>
              <w:spacing w:after="0" w:line="240" w:lineRule="auto"/>
            </w:pPr>
            <w:r>
              <w:rPr>
                <w:rFonts w:cs="Arial"/>
              </w:rPr>
              <w:t xml:space="preserve">2</w:t>
            </w:r>
          </w:p>
        </w:tc>
        <w:tc>
          <w:tcPr>
            <w:tcW w:w="1446" w:type="dxa"/>
            <w:tcBorders>
              <w:top w:val="single" w:sz="4" w:space="0" w:color="000000"/>
              <w:left w:val="single" w:sz="4" w:space="0" w:color="000000"/>
              <w:bottom w:val="single" w:sz="4" w:space="0" w:color="000000"/>
              <w:right w:val="single" w:sz="4" w:space="0" w:color="000000"/>
            </w:tcBorders>
            <w:vAlign w:val="center"/>
          </w:tcPr>
          <w:p w14:paraId="31E7C5E7" w14:textId="0324A7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FF175" w14:textId="28C64916"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Digital Skills and Artificial Intelligence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FED45E" w14:textId="30ACE6A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260332" w14:textId="65A41BB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2C46638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5BDF53" w14:textId="77777777" w:rsidR="00484777" w:rsidRPr="008B6C93" w:rsidRDefault="00484777" w:rsidP="00484777">
            <w:pPr>
              <w:numPr>
                <w:ilvl w:val="0"/>
                <w:numId w:val="13"/>
              </w:numPr>
              <w:contextualSpacing/>
              <w:rPr>
                <w:rFonts w:cs="Arial"/>
              </w:rPr>
              <w:spacing w:after="0" w:line="240" w:lineRule="auto"/>
            </w:pPr>
            <w:r>
              <w:rPr>
                <w:rFonts w:cs="Arial"/>
              </w:rPr>
              <w:t xml:space="preserve">3</w:t>
            </w:r>
          </w:p>
        </w:tc>
        <w:tc>
          <w:tcPr>
            <w:tcW w:w="1446" w:type="dxa"/>
            <w:tcBorders>
              <w:top w:val="single" w:sz="4" w:space="0" w:color="000000"/>
              <w:left w:val="single" w:sz="4" w:space="0" w:color="000000"/>
              <w:bottom w:val="single" w:sz="4" w:space="0" w:color="000000"/>
              <w:right w:val="single" w:sz="4" w:space="0" w:color="000000"/>
            </w:tcBorders>
            <w:vAlign w:val="center"/>
          </w:tcPr>
          <w:p w14:paraId="209340B5" w14:textId="0C4E8ED4"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IMPR-4103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61328" w14:textId="2FFF3969"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Introduction to Mineral Processing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9B03B" w14:textId="5442CD3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AACB4F" w14:textId="703C50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370DF403"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365E780" w14:textId="77777777" w:rsidR="00484777" w:rsidRPr="008B6C93" w:rsidRDefault="00484777" w:rsidP="00484777">
            <w:pPr>
              <w:numPr>
                <w:ilvl w:val="0"/>
                <w:numId w:val="13"/>
              </w:numPr>
              <w:contextualSpacing/>
              <w:rPr>
                <w:rFonts w:cs="Arial"/>
              </w:rPr>
              <w:spacing w:after="0" w:line="240" w:lineRule="auto"/>
            </w:pPr>
            <w:r>
              <w:rPr>
                <w:rFonts w:cs="Arial"/>
              </w:rPr>
              <w:t xml:space="preserve">4</w:t>
            </w:r>
          </w:p>
        </w:tc>
        <w:tc>
          <w:tcPr>
            <w:tcW w:w="1446" w:type="dxa"/>
            <w:tcBorders>
              <w:top w:val="single" w:sz="4" w:space="0" w:color="000000"/>
              <w:left w:val="single" w:sz="4" w:space="0" w:color="000000"/>
              <w:bottom w:val="single" w:sz="4" w:space="0" w:color="000000"/>
              <w:right w:val="single" w:sz="4" w:space="0" w:color="000000"/>
            </w:tcBorders>
            <w:vAlign w:val="center"/>
          </w:tcPr>
          <w:p w14:paraId="176ED3B9" w14:textId="79940247"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SEPM-4104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D18DB" w14:textId="2E09AD0B"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Safety and Environmental Practices in Mineral Processing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6F4953" w14:textId="7069A04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CBEBC" w14:textId="0542DDF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5823F5E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D56D608" w14:textId="77777777" w:rsidR="00484777" w:rsidRPr="008B6C93" w:rsidRDefault="00484777" w:rsidP="00484777">
            <w:pPr>
              <w:numPr>
                <w:ilvl w:val="0"/>
                <w:numId w:val="13"/>
              </w:numPr>
              <w:contextualSpacing/>
              <w:rPr>
                <w:rFonts w:cs="Arial"/>
              </w:rPr>
              <w:spacing w:after="0" w:line="240" w:lineRule="auto"/>
            </w:pPr>
            <w:r>
              <w:rPr>
                <w:rFonts w:cs="Arial"/>
              </w:rPr>
              <w:t xml:space="preserve">5</w:t>
            </w:r>
          </w:p>
        </w:tc>
        <w:tc>
          <w:tcPr>
            <w:tcW w:w="1446" w:type="dxa"/>
            <w:tcBorders>
              <w:top w:val="single" w:sz="4" w:space="0" w:color="000000"/>
              <w:left w:val="single" w:sz="4" w:space="0" w:color="000000"/>
              <w:bottom w:val="single" w:sz="4" w:space="0" w:color="000000"/>
              <w:right w:val="single" w:sz="4" w:space="0" w:color="000000"/>
            </w:tcBorders>
            <w:vAlign w:val="center"/>
          </w:tcPr>
          <w:p w14:paraId="775DBA8F" w14:textId="6BC6DEC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SRC-4205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AEEFE" w14:textId="6F30DDD2"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Size Reduction and Classification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3F6775" w14:textId="53DADBC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0BD89" w14:textId="12FA7F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33EFF70E"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69E7809" w14:textId="77777777" w:rsidR="00484777" w:rsidRPr="008B6C93" w:rsidRDefault="00484777" w:rsidP="00484777">
            <w:pPr>
              <w:numPr>
                <w:ilvl w:val="0"/>
                <w:numId w:val="13"/>
              </w:numPr>
              <w:contextualSpacing/>
              <w:rPr>
                <w:rFonts w:cs="Arial"/>
              </w:rPr>
              <w:spacing w:after="0" w:line="240" w:lineRule="auto"/>
            </w:pPr>
            <w:r>
              <w:rPr>
                <w:rFonts w:cs="Arial"/>
              </w:rPr>
              <w:t xml:space="preserve">6</w:t>
            </w:r>
          </w:p>
        </w:tc>
        <w:tc>
          <w:tcPr>
            <w:tcW w:w="1446" w:type="dxa"/>
            <w:tcBorders>
              <w:top w:val="single" w:sz="4" w:space="0" w:color="000000"/>
              <w:left w:val="single" w:sz="4" w:space="0" w:color="000000"/>
              <w:bottom w:val="single" w:sz="4" w:space="0" w:color="000000"/>
              <w:right w:val="single" w:sz="4" w:space="0" w:color="000000"/>
            </w:tcBorders>
            <w:vAlign w:val="center"/>
          </w:tcPr>
          <w:p w14:paraId="386FE389" w14:textId="342C10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MSR-4206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8D8C2" w14:textId="7E74A580"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Mineral Separation and Recovery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206A16" w14:textId="3C7B0B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29F24" w14:textId="42681B4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4C2851CC"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7E598CC" w14:textId="77777777" w:rsidR="00484777" w:rsidRPr="008B6C93" w:rsidRDefault="00484777" w:rsidP="00484777">
            <w:pPr>
              <w:numPr>
                <w:ilvl w:val="0"/>
                <w:numId w:val="13"/>
              </w:numPr>
              <w:contextualSpacing/>
              <w:rPr>
                <w:rFonts w:cs="Arial"/>
              </w:rPr>
              <w:spacing w:after="0" w:line="240" w:lineRule="auto"/>
            </w:pPr>
            <w:r>
              <w:rPr>
                <w:rFonts w:cs="Arial"/>
              </w:rPr>
              <w:t xml:space="preserve">7</w:t>
            </w:r>
          </w:p>
        </w:tc>
        <w:tc>
          <w:tcPr>
            <w:tcW w:w="1446" w:type="dxa"/>
            <w:tcBorders>
              <w:top w:val="single" w:sz="4" w:space="0" w:color="000000"/>
              <w:left w:val="single" w:sz="4" w:space="0" w:color="000000"/>
              <w:bottom w:val="single" w:sz="4" w:space="0" w:color="000000"/>
              <w:right w:val="single" w:sz="4" w:space="0" w:color="000000"/>
            </w:tcBorders>
            <w:vAlign w:val="center"/>
          </w:tcPr>
          <w:p w14:paraId="5E23933D" w14:textId="12F91F4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PMRA-4207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46FCB" w14:textId="446C49EF"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Process Monitoring and Routine Asset Care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D1700D" w14:textId="58700D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C46A22" w14:textId="401AB44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23B51407" w14:textId="77777777" w:rsidTr="00373D14">
        <w:trPr>
          <w:trHeight w:val="206"/>
          <w:cantSplit/>
        </w:trPr>
        <w:tc>
          <w:tcPr>
            <w:tcW w:w="567" w:type="dxa"/>
            <w:tcBorders>
              <w:top w:val="single" w:sz="4" w:space="0" w:color="000000"/>
              <w:left w:val="single" w:sz="4" w:space="0" w:color="000000"/>
              <w:bottom w:val="single" w:sz="4" w:space="0" w:color="000000"/>
              <w:right w:val="single" w:sz="4" w:space="0" w:color="000000"/>
            </w:tcBorders>
          </w:tcPr>
          <w:p w14:paraId="41D6E8D5" w14:textId="77777777" w:rsidR="00484777" w:rsidRPr="008B6C93" w:rsidRDefault="00484777" w:rsidP="00484777">
            <w:pPr>
              <w:numPr>
                <w:ilvl w:val="0"/>
                <w:numId w:val="13"/>
              </w:numPr>
              <w:contextualSpacing/>
              <w:rPr>
                <w:rFonts w:cs="Arial"/>
              </w:rPr>
              <w:spacing w:after="0" w:line="240" w:lineRule="auto"/>
            </w:pPr>
            <w:r>
              <w:rPr>
                <w:rFonts w:cs="Arial"/>
              </w:rPr>
              <w:t xml:space="preserve">8</w:t>
            </w:r>
          </w:p>
        </w:tc>
        <w:tc>
          <w:tcPr>
            <w:tcW w:w="1446" w:type="dxa"/>
            <w:tcBorders>
              <w:top w:val="single" w:sz="4" w:space="0" w:color="000000"/>
              <w:left w:val="single" w:sz="4" w:space="0" w:color="000000"/>
              <w:bottom w:val="single" w:sz="4" w:space="0" w:color="000000"/>
              <w:right w:val="single" w:sz="4" w:space="0" w:color="000000"/>
            </w:tcBorders>
            <w:vAlign w:val="center"/>
          </w:tcPr>
          <w:p w14:paraId="6CAF1888" w14:textId="4B1BE73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IMPO-4208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4CFB7E" w14:textId="0D405C5C" w:rsidR="00484777" w:rsidRPr="008B6C93" w:rsidRDefault="00484777" w:rsidP="00484777">
            <w:pPr>
              <w:contextualSpacing/>
              <w:rPr>
                <w:rFonts w:cs="Arial"/>
              </w:rPr>
              <w:jc w:val="both"/>
            </w:pPr>
            <w:r>
              <w:rPr>
                <w:rFonts w:cs="Arial"/>
              </w:rPr>
              <w:t xml:space="preserve">Integrated Mineral Processing Operations Simulation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58BB68" w14:textId="7057607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A6C2F" w14:textId="7A39803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bl>
    <w:p w14:paraId="5E48422E" w14:textId="77777777" w:rsidR="00C65B51" w:rsidRPr="008B6C93" w:rsidRDefault="00C65B51">
      <w:pPr>
        <w:rPr>
          <w:rFonts w:cs="Arial"/>
        </w:rPr>
        <w:sectPr w:rsidR="00C65B51" w:rsidRPr="008B6C93">
          <w:footerReference w:type="default" r:id="rId9"/>
          <w:pgBorders w:display="firstPage" w:offsetFrom="page">
            <w:top w:val="single" w:sz="10" w:space="20" w:color="F36B18"/>
            <w:left w:val="single" w:sz="10" w:space="20" w:color="F36B18"/>
            <w:bottom w:val="single" w:sz="10" w:space="20" w:color="F36B18"/>
            <w:right w:val="single" w:sz="10" w:space="20" w:color="F36B18"/>
          </w:pgBorders>
          <w:pgSz w:w="11906" w:h="16838"/>
          <w:pgMar w:top="850" w:right="907" w:bottom="850" w:left="907" w:header="397" w:footer="397" w:gutter="0"/>
          <w:cols w:space="720"/>
          <w:docGrid w:linePitch="360"/>
        </w:sectPr>
      </w:pPr>
    </w:p>
    <w:p w14:paraId="41038511" w14:textId="77777777" w:rsidR="00885E26" w:rsidRPr="008B6C93" w:rsidRDefault="00885E26">
      <w:pPr>
        <w:pStyle w:val="Heading1"/>
        <w:rPr>
          <w:rFonts w:ascii="Arial" w:hAnsi="Arial" w:cs="Arial"/>
          <w:sz w:val="22"/>
          <w:szCs w:val="22"/>
        </w:rPr>
      </w:pPr>
    </w:p>
    <w:p w14:paraId="23585C03" w14:textId="47D218A8" w:rsidR="00885E26" w:rsidRPr="008B6C93" w:rsidRDefault="00885E26" w:rsidP="00885E26">
      <w:pPr>
        <w:rPr>
          <w:rFonts w:cs="Arial"/>
          <w:b/>
          <w:bCs/>
          <w:lang w:val="en-US"/>
        </w:rPr>
        <w:keepNext/>
      </w:pPr>
      <w:r w:rsidRPr="008B6C93">
        <w:rPr>
          <w:rFonts w:cs="Arial"/>
          <w:b/>
          <w:bCs/>
          <w:lang w:val="en-US"/>
        </w:rPr>
        <w:t>Detailed Qualification Structure</w:t>
      </w:r>
    </w:p>
    <w:tbl>
      <w:tblPr>
        <w:tblLook w:val="0000" w:firstRow="0" w:lastRow="0" w:firstColumn="0" w:lastColumn="0" w:noHBand="0" w:noVBand="0"/>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3"/>
        <w:gridCol w:w="1003"/>
        <w:gridCol w:w="1134"/>
        <w:gridCol w:w="1433"/>
        <w:gridCol w:w="1417"/>
        <w:gridCol w:w="1276"/>
      </w:tblGrid>
      <w:tr w:rsidR="00885E26" w:rsidRPr="008B6C93" w14:paraId="435529B1"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0FCEABD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06A24AC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B1B12E1"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8AFF4C3"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14DD16E"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716834B6"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45BB1C7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63F9563"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052CB7C"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484777" w:rsidRPr="008B6C93" w14:paraId="0E146082"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2D3661"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228C013B" w14:textId="029FD97B"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7EDAD" w14:textId="644FF39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5FD5B" w14:textId="3C73EBC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58179" w14:textId="0B4FAB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4CAA2" w14:textId="63F223B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86E9438" w14:textId="553146F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53933B6" w14:textId="57C6C0C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81A143" w14:textId="59E9A74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2AD46FCE"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EC7148C"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766C16F9" w14:textId="1E09826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BA3FAD" w14:textId="462781A4"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299502" w14:textId="0253117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63A4F" w14:textId="037186D9"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5A378E3D" w14:textId="2F7E8F8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20589414" w14:textId="3A8F0DE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135758C" w14:textId="3E670A2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AEB2AC3" w14:textId="6B3A3FC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0064412B"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2D20588"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3E2B0820" w14:textId="328A067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IMPR-4103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385AD" w14:textId="77621F95"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Introduction to Mineral Processing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BED5B" w14:textId="004C4C8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D75AF" w14:textId="3B2D6B6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563861D6" w14:textId="7F784C7B"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4C0E2F79" w14:textId="383E667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74021E7" w14:textId="7F38038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526178CD" w14:textId="5856BA8A"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5797BBA6"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124C94B"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1B4AFE58" w14:textId="1E382491"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SEPM-4104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0C2B65" w14:textId="1B7CC4BF"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Safety and Environmental Practices in Mineral Processing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988BA" w14:textId="0D4AECD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F028A" w14:textId="57DE92F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70814019" w14:textId="24E86C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984E25D" w14:textId="46821F5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9ECD72F" w14:textId="3339EB3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81844" w14:textId="0B149CD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72536E85"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306AC10"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6203DD11" w14:textId="086F7577" w:rsidR="00484777" w:rsidRPr="008B6C93" w:rsidRDefault="00484777" w:rsidP="00484777">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SRC-4205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44CDBC" w14:textId="6828E604" w:rsidR="00484777" w:rsidRPr="008B6C93" w:rsidRDefault="00484777" w:rsidP="00484777">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Size Reduction and Classification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958919" w14:textId="040D033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9822F" w14:textId="0242288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25C439E4" w14:textId="3F1AB0E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3ED9A1F" w14:textId="7E01FF56"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IMPR-4103</w:t>
            </w:r>
          </w:p>
        </w:tc>
        <w:tc>
          <w:tcPr>
            <w:tcW w:w="1417" w:type="dxa"/>
            <w:tcBorders>
              <w:top w:val="single" w:sz="4" w:space="0" w:color="000000"/>
              <w:left w:val="single" w:sz="4" w:space="0" w:color="000000"/>
              <w:bottom w:val="single" w:sz="4" w:space="0" w:color="000000"/>
              <w:right w:val="single" w:sz="4" w:space="0" w:color="000000"/>
            </w:tcBorders>
            <w:vAlign w:val="center"/>
          </w:tcPr>
          <w:p w14:paraId="7D3E7D3C" w14:textId="2DAD808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576F3D" w14:textId="74287F4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r>
      <w:tr w:rsidR="00484777" w:rsidRPr="008B6C93" w14:paraId="0C1FC32B"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5C3CBB9"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436B1ECC" w14:textId="50A89905"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MSR-4206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9407D" w14:textId="6F032BCE"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Mineral Separation and Recovery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BE715" w14:textId="67B479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5CEB37" w14:textId="11AA7E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AB88DFA" w14:textId="54D47D2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652B5FFF" w14:textId="76D305D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IMPR-4103</w:t>
            </w:r>
          </w:p>
        </w:tc>
        <w:tc>
          <w:tcPr>
            <w:tcW w:w="1417" w:type="dxa"/>
            <w:tcBorders>
              <w:top w:val="single" w:sz="4" w:space="0" w:color="000000"/>
              <w:left w:val="single" w:sz="4" w:space="0" w:color="000000"/>
              <w:bottom w:val="single" w:sz="4" w:space="0" w:color="000000"/>
              <w:right w:val="single" w:sz="4" w:space="0" w:color="000000"/>
            </w:tcBorders>
            <w:vAlign w:val="center"/>
          </w:tcPr>
          <w:p w14:paraId="4C0EB1F9" w14:textId="1893981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ACE6C5B" w14:textId="713E90C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25D3EC63"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98EEF82"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3B87327B" w14:textId="08452E1D"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PMRA-4207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873DF" w14:textId="6106BFC3"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Process Monitoring and Routine Asset 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20E05" w14:textId="5AF782A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0D81E" w14:textId="645BAF8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56BFCBF1" w14:textId="2C68F79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16FFBC9D" w14:textId="51EEAB1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SEPM-4104</w:t>
            </w:r>
          </w:p>
        </w:tc>
        <w:tc>
          <w:tcPr>
            <w:tcW w:w="1417" w:type="dxa"/>
            <w:tcBorders>
              <w:top w:val="single" w:sz="4" w:space="0" w:color="000000"/>
              <w:left w:val="single" w:sz="4" w:space="0" w:color="000000"/>
              <w:bottom w:val="single" w:sz="4" w:space="0" w:color="000000"/>
              <w:right w:val="single" w:sz="4" w:space="0" w:color="000000"/>
            </w:tcBorders>
            <w:vAlign w:val="center"/>
          </w:tcPr>
          <w:p w14:paraId="6BF38143" w14:textId="4C25EE9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7B2EA50" w14:textId="663EE5E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5594B8A7"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E20460A"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472BD0B0" w14:textId="1606C0F6"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IMPO-4208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1CEB8" w14:textId="1C256261"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Integrated Mineral Processing Operations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4606E" w14:textId="613BE1E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431E8" w14:textId="515548E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3B51DF" w14:textId="4FD9DF4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DC0A183" w14:textId="74571362"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SEPM-4104</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1260F" w14:textId="4B8F9515"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DF6DF" w14:textId="5E57117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r>
    </w:tbl>
    <w:p w14:paraId="5391E875" w14:textId="77777777" w:rsidR="00885E26" w:rsidRPr="008B6C93" w:rsidRDefault="00885E26" w:rsidP="00885E26">
      <w:pPr>
        <w:rPr>
          <w:rFonts w:cs="Arial"/>
          <w:b/>
          <w:bCs/>
          <w:lang w:val="en-US"/>
        </w:rPr>
      </w:pPr>
    </w:p>
    <w:p w14:paraId="1F8FB5CF" w14:textId="77777777" w:rsidR="00885E26" w:rsidRPr="008B6C93" w:rsidRDefault="00885E26" w:rsidP="00885E26">
      <w:pPr>
        <w:rPr>
          <w:rFonts w:cs="Arial"/>
          <w:b/>
          <w:bCs/>
          <w:lang w:val="en-US"/>
        </w:rPr>
      </w:pPr>
    </w:p>
    <w:p w14:paraId="673E8FDA" w14:textId="77777777" w:rsidR="00885E26" w:rsidRPr="008B6C93" w:rsidRDefault="00885E26" w:rsidP="00885E26">
      <w:pPr>
        <w:rPr>
          <w:rFonts w:cs="Arial"/>
          <w:b/>
          <w:bCs/>
        </w:rPr>
      </w:pPr>
    </w:p>
    <w:p w14:paraId="5997F2F8" w14:textId="77777777" w:rsidR="00274B8B" w:rsidRPr="008B6C93" w:rsidRDefault="00274B8B" w:rsidP="00885E26">
      <w:pPr>
        <w:rPr>
          <w:rFonts w:cs="Arial"/>
          <w:b/>
          <w:bCs/>
        </w:rPr>
      </w:pPr>
    </w:p>
    <w:p w14:paraId="7C29827A" w14:textId="77777777" w:rsidR="00274B8B" w:rsidRPr="008B6C93" w:rsidRDefault="00274B8B" w:rsidP="00885E26">
      <w:pPr>
        <w:rPr>
          <w:rFonts w:cs="Arial"/>
          <w:b/>
          <w:bCs/>
        </w:rPr>
      </w:pPr>
    </w:p>
    <w:p w14:paraId="64B32DDC" w14:textId="77777777" w:rsidR="0082754C" w:rsidRPr="008B6C93" w:rsidRDefault="0082754C" w:rsidP="00885E26">
      <w:pPr>
        <w:rPr>
          <w:rFonts w:cs="Arial"/>
          <w:b/>
          <w:bCs/>
        </w:rPr>
      </w:pPr>
    </w:p>
    <w:p w14:paraId="36402F8B" w14:textId="77777777" w:rsidR="0082754C" w:rsidRPr="008B6C93" w:rsidRDefault="0082754C" w:rsidP="00885E26">
      <w:pPr>
        <w:rPr>
          <w:rFonts w:cs="Arial"/>
          <w:b/>
          <w:bCs/>
        </w:rPr>
      </w:pPr>
    </w:p>
    <w:p w14:paraId="01D496D5" w14:textId="77777777" w:rsidR="0082754C" w:rsidRPr="008B6C93" w:rsidRDefault="0082754C" w:rsidP="00885E26">
      <w:pPr>
        <w:rPr>
          <w:rFonts w:cs="Arial"/>
          <w:b/>
          <w:bCs/>
        </w:rPr>
      </w:pPr>
    </w:p>
    <w:p w14:paraId="66E64A93" w14:textId="77777777" w:rsidR="0082754C" w:rsidRPr="008B6C93" w:rsidRDefault="0082754C" w:rsidP="00885E26">
      <w:pPr>
        <w:rPr>
          <w:rFonts w:cs="Arial"/>
          <w:b/>
          <w:bCs/>
        </w:rPr>
      </w:pPr>
    </w:p>
    <w:p w14:paraId="2DBEA37A" w14:textId="77777777" w:rsidR="0082754C" w:rsidRPr="008B6C93" w:rsidRDefault="0082754C" w:rsidP="00885E26">
      <w:pPr>
        <w:rPr>
          <w:rFonts w:cs="Arial"/>
          <w:b/>
          <w:bCs/>
        </w:rPr>
      </w:pPr>
    </w:p>
    <w:p w14:paraId="56B616A1" w14:textId="77777777" w:rsidR="0082754C" w:rsidRPr="008B6C93" w:rsidRDefault="0082754C" w:rsidP="00885E26">
      <w:pPr>
        <w:rPr>
          <w:rFonts w:cs="Arial"/>
          <w:b/>
          <w:bCs/>
        </w:rPr>
      </w:pPr>
    </w:p>
    <w:p w14:paraId="69587798" w14:textId="613F5814" w:rsidR="00484777" w:rsidRPr="008B6C93" w:rsidRDefault="0082754C" w:rsidP="00484777">
      <w:pPr>
        <w:rPr>
          <w:rFonts w:cs="Arial"/>
          <w:b/>
          <w:bCs/>
        </w:rPr>
      </w:pPr>
      <w:r w:rsidRPr="008B6C93">
        <w:rPr>
          <w:rFonts w:cs="Arial"/>
          <w:b/>
          <w:bCs/>
          <w:lang w:val="en-US"/>
        </w:rPr>
        <w:lastRenderedPageBreak/>
        <w:t>Learning Time Distribution Framework</w:t>
      </w:r>
      <w:r w:rsidRPr="008B6C93">
        <w:rPr>
          <w:rStyle w:val="FootnoteReference"/>
          <w:rFonts w:cs="Arial"/>
          <w:b/>
          <w:bCs/>
          <w:lang w:val="en-US"/>
        </w:rPr>
        <w:footnoteReference w:id="7"/>
      </w:r>
    </w:p>
    <w:p w14:paraId="1136D19D" w14:textId="7F1437EB" w:rsidR="00484777" w:rsidRPr="008B6C93" w:rsidRDefault="00484777" w:rsidP="0082754C">
      <w:pPr>
        <w:contextualSpacing/>
        <w:rPr>
          <w:rFonts w:cs="Arial"/>
        </w:rPr>
        <w:jc w:val="both"/>
        <w:ind w:right="38"/>
      </w:pPr>
      <w:r w:rsidRPr="008B6C93">
        <w:rPr>
          <w:rFonts w:cs="Arial"/>
        </w:rPr>
        <w:t>One credit represents ten notional learning hours. The 80-credit qualification therefore contains 800 hours, including learning and assessment. The following activity allocation retains the proposed workload of the certificate design; it is an institutional planning model, not a nationally prescribed percentage split.</w:t>
      </w:r>
    </w:p>
    <w:p w14:paraId="0116724D" w14:textId="77777777" w:rsidR="0082754C" w:rsidRPr="008B6C93" w:rsidRDefault="0082754C" w:rsidP="0082754C">
      <w:pPr>
        <w:contextualSpacing/>
        <w:rPr>
          <w:rFonts w:cs="Arial"/>
        </w:rPr>
        <w:ind w:left="567"/>
      </w:pP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709"/>
        <w:gridCol w:w="3544"/>
        <w:gridCol w:w="2036"/>
        <w:gridCol w:w="8737"/>
      </w:tblGrid>
      <w:tr w:rsidR="0082754C" w:rsidRPr="008B6C93" w14:paraId="633384BA" w14:textId="77777777" w:rsidTr="00484777">
        <w:trPr>
          <w:cantSplit/>
          <w:tblHeader/>
        </w:trPr>
        <w:tc>
          <w:tcPr>
            <w:tcW w:w="709" w:type="dxa"/>
            <w:shd w:val="clear" w:color="auto" w:fill="D9D9D9"/>
          </w:tcPr>
          <w:p w14:paraId="552B941E" w14:textId="77777777" w:rsidR="0082754C" w:rsidRPr="008B6C93" w:rsidRDefault="0082754C" w:rsidP="008862B1">
            <w:pPr>
              <w:contextualSpacing/>
              <w:rPr>
                <w:rFonts w:cs="Arial"/>
              </w:rPr>
              <w:keepNext/>
            </w:pPr>
            <w:r w:rsidRPr="008B6C93">
              <w:rPr>
                <w:rFonts w:cs="Arial"/>
              </w:rPr>
              <w:t>No</w:t>
            </w:r>
          </w:p>
        </w:tc>
        <w:tc>
          <w:tcPr>
            <w:tcW w:w="3544" w:type="dxa"/>
            <w:shd w:val="clear" w:color="auto" w:fill="D9D9D9"/>
          </w:tcPr>
          <w:p w14:paraId="03DE19D2" w14:textId="77777777" w:rsidR="0082754C" w:rsidRPr="008B6C93" w:rsidRDefault="0082754C" w:rsidP="008862B1">
            <w:pPr>
              <w:contextualSpacing/>
              <w:rPr>
                <w:rFonts w:cs="Arial"/>
              </w:rPr>
              <w:keepNext/>
              <w:jc w:val="center"/>
              <w:ind w:left="567"/>
            </w:pPr>
            <w:r w:rsidRPr="008B6C93">
              <w:rPr>
                <w:rFonts w:cs="Arial"/>
              </w:rPr>
              <w:t>Learning Activity Category</w:t>
            </w:r>
          </w:p>
        </w:tc>
        <w:tc>
          <w:tcPr>
            <w:tcW w:w="2036" w:type="dxa"/>
            <w:shd w:val="clear" w:color="auto" w:fill="D9D9D9"/>
          </w:tcPr>
          <w:p w14:paraId="7A9140D6" w14:textId="77777777" w:rsidR="0082754C" w:rsidRPr="008B6C93" w:rsidRDefault="0082754C" w:rsidP="008862B1">
            <w:pPr>
              <w:contextualSpacing/>
              <w:rPr>
                <w:rFonts w:cs="Arial"/>
              </w:rPr>
              <w:keepNext/>
              <w:jc w:val="center"/>
            </w:pPr>
            <w:r w:rsidRPr="008B6C93">
              <w:rPr>
                <w:rFonts w:cs="Arial"/>
              </w:rPr>
              <w:t>% Allocation Per Credit</w:t>
            </w:r>
          </w:p>
        </w:tc>
        <w:tc>
          <w:tcPr>
            <w:tcW w:w="8737" w:type="dxa"/>
            <w:shd w:val="clear" w:color="auto" w:fill="D9D9D9"/>
          </w:tcPr>
          <w:p w14:paraId="317150BF" w14:textId="77777777" w:rsidR="0082754C" w:rsidRPr="008B6C93" w:rsidRDefault="0082754C" w:rsidP="008862B1">
            <w:pPr>
              <w:contextualSpacing/>
              <w:rPr>
                <w:rFonts w:cs="Arial"/>
              </w:rPr>
              <w:keepNext/>
              <w:jc w:val="center"/>
              <w:ind w:left="567"/>
            </w:pPr>
            <w:r w:rsidRPr="008B6C93">
              <w:rPr>
                <w:rFonts w:cs="Arial"/>
              </w:rPr>
              <w:t>Interpretation</w:t>
            </w:r>
          </w:p>
        </w:tc>
      </w:tr>
      <w:tr w:rsidR="006F54F2" w:rsidRPr="008B6C93" w14:paraId="144CE951" w14:textId="77777777" w:rsidTr="00484777">
        <w:trPr>
          <w:cantSplit/>
        </w:trPr>
        <w:tc>
          <w:tcPr>
            <w:tcW w:w="709" w:type="dxa"/>
          </w:tcPr>
          <w:p w14:paraId="4A77CF80" w14:textId="77777777" w:rsidR="006F54F2" w:rsidRPr="008B6C93" w:rsidRDefault="006F54F2" w:rsidP="006F54F2">
            <w:pPr>
              <w:contextualSpacing/>
              <w:rPr>
                <w:rFonts w:cs="Arial"/>
              </w:rPr>
            </w:pPr>
            <w:r w:rsidRPr="008B6C93">
              <w:rPr>
                <w:rFonts w:cs="Arial"/>
              </w:rPr>
              <w:t>1</w:t>
            </w:r>
          </w:p>
        </w:tc>
        <w:tc>
          <w:tcPr>
            <w:tcW w:w="3544" w:type="dxa"/>
            <w:vAlign w:val="center"/>
          </w:tcPr>
          <w:p w14:paraId="71604BF8" w14:textId="13C90617" w:rsidR="006F54F2" w:rsidRPr="008B6C93" w:rsidRDefault="006F54F2" w:rsidP="006F54F2">
            <w:pPr>
              <w:contextualSpacing/>
              <w:rPr>
                <w:rFonts w:cs="Arial"/>
              </w:rPr>
              <w:jc w:val="both"/>
            </w:pPr>
            <w:r w:rsidRPr="008B6C93">
              <w:rPr>
                <w:rFonts w:cs="Arial"/>
              </w:rPr>
              <w:t>Taught contact learning</w:t>
            </w:r>
          </w:p>
        </w:tc>
        <w:tc>
          <w:tcPr>
            <w:tcW w:w="2036" w:type="dxa"/>
            <w:vAlign w:val="center"/>
          </w:tcPr>
          <w:p w14:paraId="164F6D92" w14:textId="1CA6DC49"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002B32EA" w14:textId="49F3C997" w:rsidR="006F54F2" w:rsidRPr="008B6C93" w:rsidRDefault="006F54F2" w:rsidP="006F54F2">
            <w:pPr>
              <w:contextualSpacing/>
              <w:rPr>
                <w:rFonts w:cs="Arial"/>
              </w:rPr>
              <w:jc w:val="both"/>
            </w:pPr>
            <w:r w:rsidRPr="008B6C93">
              <w:rPr>
                <w:rFonts w:cs="Arial"/>
              </w:rPr>
              <w:t xml:space="preserve">Lectures, seminars, </w:t>
            </w:r>
            <w:proofErr w:type="gramStart"/>
            <w:r w:rsidRPr="008B6C93">
              <w:rPr>
                <w:rFonts w:cs="Arial"/>
              </w:rPr>
              <w:t>tutorials</w:t>
            </w:r>
            <w:proofErr w:type="gramEnd"/>
            <w:r w:rsidRPr="008B6C93">
              <w:rPr>
                <w:rFonts w:cs="Arial"/>
              </w:rPr>
              <w:t xml:space="preserve"> and structured workshops.</w:t>
            </w:r>
          </w:p>
        </w:tc>
      </w:tr>
      <w:tr w:rsidR="006F54F2" w:rsidRPr="008B6C93" w14:paraId="2C6A729D" w14:textId="77777777" w:rsidTr="00484777">
        <w:trPr>
          <w:cantSplit/>
        </w:trPr>
        <w:tc>
          <w:tcPr>
            <w:tcW w:w="709" w:type="dxa"/>
          </w:tcPr>
          <w:p w14:paraId="659F85A4" w14:textId="77777777" w:rsidR="006F54F2" w:rsidRPr="008B6C93" w:rsidRDefault="006F54F2" w:rsidP="006F54F2">
            <w:pPr>
              <w:contextualSpacing/>
              <w:rPr>
                <w:rFonts w:cs="Arial"/>
              </w:rPr>
            </w:pPr>
            <w:r w:rsidRPr="008B6C93">
              <w:rPr>
                <w:rFonts w:cs="Arial"/>
              </w:rPr>
              <w:t>2</w:t>
            </w:r>
          </w:p>
        </w:tc>
        <w:tc>
          <w:tcPr>
            <w:tcW w:w="3544" w:type="dxa"/>
            <w:vAlign w:val="center"/>
          </w:tcPr>
          <w:p w14:paraId="33D6DC25" w14:textId="10EBA5DF" w:rsidR="006F54F2" w:rsidRPr="008B6C93" w:rsidRDefault="006F54F2" w:rsidP="006F54F2">
            <w:pPr>
              <w:contextualSpacing/>
              <w:rPr>
                <w:rFonts w:cs="Arial"/>
              </w:rPr>
              <w:jc w:val="both"/>
            </w:pPr>
            <w:r w:rsidRPr="008B6C93">
              <w:rPr>
                <w:rFonts w:cs="Arial"/>
              </w:rPr>
              <w:t>Guided practical contact learning</w:t>
            </w:r>
            <w:r w:rsidR="00484777" w:rsidRPr="008B6C93">
              <w:rPr>
                <w:rFonts w:cs="Arial"/>
              </w:rPr>
              <w:t xml:space="preserve">/ </w:t>
            </w:r>
            <w:r w:rsidR="00484777" w:rsidRPr="008B6C93">
              <w:rPr>
                <w:rFonts w:cs="Arial"/>
              </w:rPr>
              <w:t>Directed Learning</w:t>
            </w:r>
          </w:p>
        </w:tc>
        <w:tc>
          <w:tcPr>
            <w:tcW w:w="2036" w:type="dxa"/>
            <w:vAlign w:val="center"/>
          </w:tcPr>
          <w:p w14:paraId="54C85540" w14:textId="6EC55642"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247B61FA" w14:textId="2AF038CA" w:rsidR="006F54F2" w:rsidRPr="008B6C93" w:rsidRDefault="006F54F2" w:rsidP="006F54F2">
            <w:pPr>
              <w:contextualSpacing/>
              <w:rPr>
                <w:rFonts w:cs="Arial"/>
              </w:rPr>
              <w:jc w:val="both"/>
            </w:pPr>
            <w:r w:rsidRPr="008B6C93">
              <w:rPr>
                <w:rFonts w:cs="Arial"/>
              </w:rPr>
              <w:t>Supervised exercises, controlled practical activities and simulations within the stated safety boundaries.</w:t>
            </w:r>
          </w:p>
        </w:tc>
      </w:tr>
      <w:tr w:rsidR="006F54F2" w:rsidRPr="008B6C93" w14:paraId="55B2DD3C" w14:textId="77777777" w:rsidTr="00484777">
        <w:trPr>
          <w:cantSplit/>
        </w:trPr>
        <w:tc>
          <w:tcPr>
            <w:tcW w:w="709" w:type="dxa"/>
          </w:tcPr>
          <w:p w14:paraId="0ABBACC2" w14:textId="77777777" w:rsidR="006F54F2" w:rsidRPr="008B6C93" w:rsidRDefault="006F54F2" w:rsidP="006F54F2">
            <w:pPr>
              <w:contextualSpacing/>
              <w:rPr>
                <w:rFonts w:cs="Arial"/>
              </w:rPr>
            </w:pPr>
            <w:r w:rsidRPr="008B6C93">
              <w:rPr>
                <w:rFonts w:cs="Arial"/>
              </w:rPr>
              <w:t>3</w:t>
            </w:r>
          </w:p>
        </w:tc>
        <w:tc>
          <w:tcPr>
            <w:tcW w:w="3544" w:type="dxa"/>
            <w:vAlign w:val="center"/>
          </w:tcPr>
          <w:p w14:paraId="5CDF3909" w14:textId="0DF6AD72" w:rsidR="006F54F2" w:rsidRPr="008B6C93" w:rsidRDefault="006F54F2" w:rsidP="006F54F2">
            <w:pPr>
              <w:contextualSpacing/>
              <w:rPr>
                <w:rFonts w:cs="Arial"/>
              </w:rPr>
              <w:jc w:val="both"/>
            </w:pPr>
            <w:r w:rsidRPr="008B6C93">
              <w:rPr>
                <w:rFonts w:cs="Arial"/>
              </w:rPr>
              <w:t>Independent learning</w:t>
            </w:r>
            <w:r w:rsidR="00484777" w:rsidRPr="008B6C93">
              <w:rPr>
                <w:rFonts w:cs="Arial"/>
              </w:rPr>
              <w:t xml:space="preserve">/ </w:t>
            </w:r>
            <w:r w:rsidR="00484777" w:rsidRPr="008B6C93">
              <w:rPr>
                <w:rFonts w:cs="Arial"/>
              </w:rPr>
              <w:t>Self-Managed Learning</w:t>
            </w:r>
          </w:p>
        </w:tc>
        <w:tc>
          <w:tcPr>
            <w:tcW w:w="2036" w:type="dxa"/>
            <w:vAlign w:val="center"/>
          </w:tcPr>
          <w:p w14:paraId="7A9BEEB3" w14:textId="799164AB"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4B214076" w14:textId="19EB452E" w:rsidR="006F54F2" w:rsidRPr="008B6C93" w:rsidRDefault="006F54F2" w:rsidP="006F54F2">
            <w:pPr>
              <w:contextualSpacing/>
              <w:rPr>
                <w:rFonts w:cs="Arial"/>
              </w:rPr>
              <w:jc w:val="both"/>
            </w:pPr>
            <w:r w:rsidRPr="008B6C93">
              <w:rPr>
                <w:rFonts w:cs="Arial"/>
              </w:rPr>
              <w:t xml:space="preserve">Reading, preparation, independent </w:t>
            </w:r>
            <w:proofErr w:type="gramStart"/>
            <w:r w:rsidRPr="008B6C93">
              <w:rPr>
                <w:rFonts w:cs="Arial"/>
              </w:rPr>
              <w:t>practice</w:t>
            </w:r>
            <w:proofErr w:type="gramEnd"/>
            <w:r w:rsidRPr="008B6C93">
              <w:rPr>
                <w:rFonts w:cs="Arial"/>
              </w:rPr>
              <w:t xml:space="preserve"> and consolidation outside the separately allocated assessment time.</w:t>
            </w:r>
          </w:p>
        </w:tc>
      </w:tr>
      <w:tr w:rsidR="006F54F2" w:rsidRPr="008B6C93" w14:paraId="3D36C711" w14:textId="77777777" w:rsidTr="00484777">
        <w:trPr>
          <w:cantSplit/>
        </w:trPr>
        <w:tc>
          <w:tcPr>
            <w:tcW w:w="709" w:type="dxa"/>
          </w:tcPr>
          <w:p w14:paraId="50727F03" w14:textId="4338C67C" w:rsidR="006F54F2" w:rsidRPr="008B6C93" w:rsidRDefault="006F54F2" w:rsidP="006F54F2">
            <w:pPr>
              <w:contextualSpacing/>
              <w:rPr>
                <w:rFonts w:cs="Arial"/>
              </w:rPr>
            </w:pPr>
            <w:r w:rsidRPr="008B6C93">
              <w:rPr>
                <w:rFonts w:cs="Arial"/>
              </w:rPr>
              <w:t>4</w:t>
            </w:r>
          </w:p>
        </w:tc>
        <w:tc>
          <w:tcPr>
            <w:tcW w:w="3544" w:type="dxa"/>
            <w:vAlign w:val="center"/>
          </w:tcPr>
          <w:p w14:paraId="537F8608" w14:textId="797F9FDA" w:rsidR="006F54F2" w:rsidRPr="008B6C93" w:rsidRDefault="006F54F2" w:rsidP="006F54F2">
            <w:pPr>
              <w:contextualSpacing/>
              <w:rPr>
                <w:rFonts w:cs="Arial"/>
              </w:rPr>
              <w:jc w:val="both"/>
            </w:pPr>
            <w:r w:rsidRPr="008B6C93">
              <w:rPr>
                <w:rFonts w:cs="Arial"/>
              </w:rPr>
              <w:t>Assessment</w:t>
            </w:r>
          </w:p>
        </w:tc>
        <w:tc>
          <w:tcPr>
            <w:tcW w:w="2036" w:type="dxa"/>
            <w:vAlign w:val="center"/>
          </w:tcPr>
          <w:p w14:paraId="5E45C8FB" w14:textId="302475BE" w:rsidR="006F54F2" w:rsidRPr="008B6C93" w:rsidRDefault="006F54F2" w:rsidP="006F54F2">
            <w:pPr>
              <w:contextualSpacing/>
              <w:rPr>
                <w:rFonts w:cs="Arial"/>
              </w:rPr>
              <w:jc w:val="center"/>
            </w:pPr>
            <w:r w:rsidRPr="008B6C93">
              <w:rPr>
                <w:rFonts w:cs="Arial"/>
              </w:rPr>
              <w:t>10% | 80 hours</w:t>
            </w:r>
          </w:p>
        </w:tc>
        <w:tc>
          <w:tcPr>
            <w:tcW w:w="8737" w:type="dxa"/>
            <w:vAlign w:val="center"/>
          </w:tcPr>
          <w:p w14:paraId="363C2A7D" w14:textId="01C5C422" w:rsidR="006F54F2" w:rsidRPr="008B6C93" w:rsidRDefault="006F54F2" w:rsidP="006F54F2">
            <w:pPr>
              <w:contextualSpacing/>
              <w:rPr>
                <w:rFonts w:cs="Arial"/>
              </w:rPr>
              <w:jc w:val="both"/>
            </w:pPr>
            <w:r w:rsidRPr="008B6C93">
              <w:rPr>
                <w:rFonts w:cs="Arial"/>
              </w:rPr>
              <w:t>Preparation of final assessment evidence and completion of assessed tasks, counted once.</w:t>
            </w:r>
          </w:p>
        </w:tc>
      </w:tr>
      <w:tr w:rsidR="006F54F2" w:rsidRPr="008B6C93" w14:paraId="6655B32B" w14:textId="77777777" w:rsidTr="00484777">
        <w:trPr>
          <w:cantSplit/>
        </w:trPr>
        <w:tc>
          <w:tcPr>
            <w:tcW w:w="709" w:type="dxa"/>
          </w:tcPr>
          <w:p w14:paraId="40DB7EAF" w14:textId="77777777" w:rsidR="006F54F2" w:rsidRPr="008B6C93" w:rsidRDefault="006F54F2" w:rsidP="006F54F2">
            <w:pPr>
              <w:contextualSpacing/>
              <w:rPr>
                <w:rFonts w:cs="Arial"/>
              </w:rPr>
            </w:pPr>
          </w:p>
        </w:tc>
        <w:tc>
          <w:tcPr>
            <w:tcW w:w="3544" w:type="dxa"/>
            <w:vAlign w:val="center"/>
          </w:tcPr>
          <w:p w14:paraId="3F97D6A4" w14:textId="00C75397" w:rsidR="006F54F2" w:rsidRPr="008B6C93" w:rsidRDefault="006F54F2" w:rsidP="006F54F2">
            <w:pPr>
              <w:contextualSpacing/>
              <w:rPr>
                <w:rFonts w:cs="Arial"/>
              </w:rPr>
              <w:jc w:val="both"/>
            </w:pPr>
            <w:r w:rsidRPr="008B6C93">
              <w:rPr>
                <w:rFonts w:cs="Arial"/>
              </w:rPr>
              <w:t>TOTAL</w:t>
            </w:r>
          </w:p>
        </w:tc>
        <w:tc>
          <w:tcPr>
            <w:tcW w:w="2036" w:type="dxa"/>
            <w:vAlign w:val="center"/>
          </w:tcPr>
          <w:p w14:paraId="3F122DF7" w14:textId="79DE6899" w:rsidR="006F54F2" w:rsidRPr="008B6C93" w:rsidRDefault="006F54F2" w:rsidP="006F54F2">
            <w:pPr>
              <w:contextualSpacing/>
              <w:rPr>
                <w:rFonts w:cs="Arial"/>
              </w:rPr>
              <w:jc w:val="center"/>
            </w:pPr>
            <w:r w:rsidRPr="008B6C93">
              <w:rPr>
                <w:rFonts w:cs="Arial"/>
              </w:rPr>
              <w:t>100% | 800 hours</w:t>
            </w:r>
          </w:p>
        </w:tc>
        <w:tc>
          <w:tcPr>
            <w:tcW w:w="8737" w:type="dxa"/>
            <w:vAlign w:val="center"/>
          </w:tcPr>
          <w:p w14:paraId="377A3526" w14:textId="645F9DE2" w:rsidR="006F54F2" w:rsidRPr="008B6C93" w:rsidRDefault="006F54F2" w:rsidP="006F54F2">
            <w:pPr>
              <w:contextualSpacing/>
              <w:rPr>
                <w:rFonts w:cs="Arial"/>
              </w:rPr>
              <w:jc w:val="both"/>
            </w:pPr>
            <w:r w:rsidRPr="008B6C93">
              <w:rPr>
                <w:rFonts w:cs="Arial"/>
              </w:rPr>
              <w:t>Taught and guided practical contact subtotal: 480 hours.</w:t>
            </w:r>
          </w:p>
        </w:tc>
      </w:tr>
    </w:tbl>
    <w:p w14:paraId="49DE35FD" w14:textId="77777777" w:rsidR="0082754C" w:rsidRPr="008B6C93" w:rsidRDefault="0082754C" w:rsidP="0082754C">
      <w:pPr>
        <w:contextualSpacing/>
        <w:rPr>
          <w:rFonts w:cs="Arial"/>
        </w:rPr>
        <w:ind w:left="567"/>
      </w:pPr>
    </w:p>
    <w:p w14:paraId="14485BC9" w14:textId="77777777" w:rsidR="006F54F2" w:rsidRPr="008B6C93" w:rsidRDefault="006F54F2" w:rsidP="006F54F2">
      <w:pPr>
        <w:pStyle w:val="Heading1"/>
        <w:rPr>
          <w:rFonts w:ascii="Arial" w:hAnsi="Arial" w:cs="Arial"/>
          <w:sz w:val="22"/>
          <w:szCs w:val="22"/>
        </w:rPr>
      </w:pPr>
      <w:r w:rsidRPr="008B6C93">
        <w:rPr>
          <w:rFonts w:ascii="Arial" w:hAnsi="Arial" w:cs="Arial"/>
          <w:sz w:val="22"/>
          <w:szCs w:val="22"/>
        </w:rPr>
        <w:t>Credit weighting rationale</w:t>
      </w:r>
    </w:p>
    <w:p w14:paraId="36F5E28C" w14:textId="77777777" w:rsidR="006F54F2" w:rsidRPr="008B6C93" w:rsidRDefault="006F54F2" w:rsidP="00484777">
      <w:pPr>
        <w:rPr>
          <w:rFonts w:cs="Arial"/>
        </w:rPr>
        <w:jc w:val="both"/>
      </w:pPr>
      <w:r>
        <w:rPr>
          <w:rFonts w:cs="Arial"/>
        </w:rPr>
        <w:t xml:space="preserve">The two shared eight-credit modules establish communication and digital study readiness without displacing technical practice. Twelve credits each for the mineral-processing introduction and safety/environment allow repeated hazard-control rehearsals, numeracy and representative-sample practice before plant simulations. Semester-two eight-credit size-reduction study is tightly bounded; ten-credit separation and monitoring modules require repeated interpretation exercises. The twelve-credit capstone integrates these capabilities through an assessed team operating scenario.</w:t>
      </w:r>
    </w:p>
    <w:p w14:paraId="1200D500" w14:textId="77777777" w:rsidR="006F54F2" w:rsidRPr="008B6C93" w:rsidRDefault="006F54F2" w:rsidP="00484777">
      <w:pPr>
        <w:rPr>
          <w:rFonts w:cs="Arial"/>
        </w:rPr>
        <w:jc w:val="both"/>
      </w:pPr>
      <w:r w:rsidRPr="008B6C93">
        <w:rPr>
          <w:rFonts w:cs="Arial"/>
        </w:rPr>
        <w:t>Module allocations use the same percentages: an 8-credit module has 24 taught, 24 guided practical, 24 independent and 8 assessment hours; a 10-credit module has 30, 30, 30 and 10 hours; a 12-credit module has 36, 36, 36 and 12 hours. Each semester totals 400 hours, including 240 contact hours.</w:t>
      </w:r>
    </w:p>
    <w:p w14:paraId="5CBE4CEF" w14:textId="77777777" w:rsidR="0082754C" w:rsidRPr="008B6C93" w:rsidRDefault="0082754C" w:rsidP="0082754C">
      <w:pPr>
        <w:contextualSpacing/>
        <w:rPr>
          <w:rFonts w:cs="Arial"/>
        </w:rPr>
        <w:ind w:left="567"/>
      </w:pPr>
    </w:p>
    <w:p w14:paraId="3888AE65" w14:textId="77777777" w:rsidR="00274B8B" w:rsidRPr="008B6C93" w:rsidRDefault="00274B8B" w:rsidP="00885E26">
      <w:pPr>
        <w:rPr>
          <w:rFonts w:cs="Arial"/>
          <w:b/>
          <w:bCs/>
        </w:rPr>
      </w:pPr>
    </w:p>
    <w:p w14:paraId="382A0C36" w14:textId="77777777" w:rsidR="00274B8B" w:rsidRPr="008B6C93" w:rsidRDefault="00274B8B" w:rsidP="00885E26">
      <w:pPr>
        <w:rPr>
          <w:rFonts w:cs="Arial"/>
          <w:b/>
          <w:bCs/>
        </w:rPr>
      </w:pPr>
    </w:p>
    <w:p w14:paraId="22D5B068" w14:textId="77777777" w:rsidR="00274B8B" w:rsidRPr="008B6C93" w:rsidRDefault="00274B8B" w:rsidP="00885E26">
      <w:pPr>
        <w:rPr>
          <w:rFonts w:cs="Arial"/>
          <w:b/>
          <w:bCs/>
        </w:rPr>
      </w:pPr>
    </w:p>
    <w:p w14:paraId="15715910" w14:textId="77777777" w:rsidR="00274B8B" w:rsidRPr="008B6C93" w:rsidRDefault="00274B8B" w:rsidP="00885E26">
      <w:pPr>
        <w:rPr>
          <w:rFonts w:cs="Arial"/>
          <w:b/>
          <w:bCs/>
        </w:rPr>
      </w:pPr>
    </w:p>
    <w:p w14:paraId="0899E2A9" w14:textId="77777777" w:rsidR="0082754C" w:rsidRPr="008B6C93" w:rsidRDefault="0082754C" w:rsidP="00885E26">
      <w:pPr>
        <w:rPr>
          <w:rFonts w:cs="Arial"/>
          <w:b/>
          <w:bCs/>
        </w:rPr>
      </w:pPr>
    </w:p>
    <w:p w14:paraId="7A2ED4AF" w14:textId="77777777" w:rsidR="00274B8B" w:rsidRPr="008B6C93" w:rsidRDefault="00274B8B" w:rsidP="00274B8B">
      <w:pPr>
        <w:pStyle w:val="Heading2"/>
        <w:contextualSpacing/>
        <w:rPr>
          <w:rFonts w:ascii="Arial" w:hAnsi="Arial" w:cs="Arial"/>
          <w:sz w:val="22"/>
          <w:szCs w:val="22"/>
        </w:rPr>
        <w:spacing w:before="0"/>
        <w:keepNext/>
      </w:pPr>
      <w:r>
        <w:rPr>
          <w:rFonts w:ascii="Arial" w:hAnsi="Arial" w:cs="Arial"/>
          <w:sz w:val="22"/>
          <w:szCs w:val="22"/>
        </w:rPr>
        <w:t xml:space="preserve">Year 1 (Semester 1 &amp; 2) 80 Credits</w:t>
      </w:r>
    </w:p>
    <w:p w14:paraId="71A23010" w14:textId="77777777" w:rsidR="00274B8B" w:rsidRPr="008B6C93" w:rsidRDefault="00274B8B" w:rsidP="00274B8B">
      <w:pPr>
        <w:contextualSpacing/>
        <w:rPr>
          <w:rFonts w:cs="Arial"/>
        </w:rPr>
        <w:keepNext/>
      </w:pPr>
    </w:p>
    <w:tbl>
      <w:tblPr>
        <w:tblLook w:val="0000" w:firstRow="0" w:lastRow="0" w:firstColumn="0" w:lastColumn="0" w:noHBand="0" w:noVBand="0"/>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7"/>
        <w:gridCol w:w="1003"/>
        <w:gridCol w:w="1134"/>
        <w:gridCol w:w="1433"/>
        <w:gridCol w:w="1417"/>
        <w:gridCol w:w="1276"/>
      </w:tblGrid>
      <w:tr w:rsidR="00274B8B" w:rsidRPr="008B6C93" w14:paraId="40C73936"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61AC4A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7BF64733"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2167354"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253247A"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AAB1051"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3F9DF5E0"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29EE7548"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C161C0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373D2BD4"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274B8B" w:rsidRPr="008B6C93" w14:paraId="294D388F"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EA9440"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0346279B" w14:textId="74919010"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6A1C4F" w14:textId="1A0D218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CC29E" w14:textId="0C762A0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2EF8E" w14:textId="5EC3DE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3CBCF15A" w14:textId="6773F474"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3783F093" w14:textId="6675E8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BB0F9F0" w14:textId="546063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71516B" w14:textId="10D10BB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4D184FA9"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27F92C1"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432DB08F" w14:textId="1B4947F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DB2B80" w14:textId="55EFA5B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0A743" w14:textId="1385CC7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DA668" w14:textId="65E647B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66A5C14A" w14:textId="2DCCE90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FF52818" w14:textId="2915A97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B10165A" w14:textId="3F12D28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33681A4" w14:textId="502299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ECFB827"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8B4F37E"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10EDEE3C" w14:textId="4E5B387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IMPR-4103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935E3" w14:textId="24F2FF95"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Introduction to Mineral Processing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F500E2" w14:textId="54E6431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FB984" w14:textId="2893F9A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4ECC783" w14:textId="057812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0AAE95CE" w14:textId="6A6BD6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66B5AF90" w14:textId="461E552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31D1C33" w14:textId="14B622A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274B8B" w:rsidRPr="008B6C93" w14:paraId="3DA5A181"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1D89207"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5C66D28F" w14:textId="4FDD9F3C"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SEPM-4104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8A4BE" w14:textId="2762AE5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Safety and Environmental Practices in Mineral Processing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C50356" w14:textId="7CEA3EE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DCCE4" w14:textId="6A3699ED"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1A4A07B8" w14:textId="4A63DFB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516DCDC" w14:textId="7489898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923B48B" w14:textId="5B6CEB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2236B" w14:textId="7C94C028"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3936B459" w14:textId="77777777" w:rsidTr="00484777">
        <w:trPr>
          <w:trHeight w:val="26"/>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2DAF5CE" w14:textId="7D1CEE3D"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1-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514C3F0" w14:textId="1284B6AF"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ADC1CE" w14:textId="7CFABBAE" w:rsidR="00552855" w:rsidRPr="008B6C93" w:rsidRDefault="00552855" w:rsidP="00552855">
            <w:pPr>
              <w:contextualSpacing/>
              <w:rPr>
                <w:rFonts w:cs="Arial"/>
              </w:rPr>
              <w:jc w:val="center"/>
            </w:pPr>
            <w:r w:rsidRPr="008B6C93">
              <w:rPr>
                <w:rFonts w:cs="Arial"/>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5CF0B9BA" w14:textId="77777777" w:rsidR="00552855" w:rsidRPr="008B6C93" w:rsidRDefault="00552855" w:rsidP="00552855">
            <w:pPr>
              <w:contextualSpacing/>
              <w:rPr>
                <w:rFonts w:cs="Arial"/>
              </w:rPr>
              <w:jc w:val="center"/>
            </w:pPr>
            <w:r w:rsidRPr="008B6C93">
              <w:rPr>
                <w:rFonts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1A11EFC3" w14:textId="0BFF96AE" w:rsidR="00552855" w:rsidRPr="008B6C93" w:rsidRDefault="00552855" w:rsidP="00552855">
            <w:pPr>
              <w:contextualSpacing/>
              <w:rPr>
                <w:rFonts w:cs="Arial"/>
              </w:rPr>
              <w:jc w:val="center"/>
            </w:pPr>
            <w:r w:rsidRPr="008B6C93">
              <w:rPr>
                <w:rFonts w:cs="Arial"/>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27C17D" w14:textId="094EE088" w:rsidR="00552855" w:rsidRPr="008B6C93" w:rsidRDefault="00552855" w:rsidP="00552855">
            <w:pPr>
              <w:contextualSpacing/>
              <w:rPr>
                <w:rFonts w:cs="Arial"/>
              </w:rPr>
              <w:jc w:val="center"/>
            </w:pPr>
            <w:r w:rsidRPr="008B6C93">
              <w:rPr>
                <w:rFonts w:cs="Arial"/>
              </w:rPr>
              <w:t>240</w:t>
            </w:r>
          </w:p>
        </w:tc>
      </w:tr>
      <w:tr w:rsidR="00274B8B" w:rsidRPr="008B6C93" w14:paraId="0CB7ACCD"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2B18F4E"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70D3560F" w14:textId="562D8D45"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SRC-4205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997C87" w14:textId="504C7F10" w:rsidR="00274B8B" w:rsidRPr="008B6C93" w:rsidRDefault="00274B8B" w:rsidP="00274B8B">
            <w:pPr>
              <w:contextualSpacing/>
              <w:rPr>
                <w:rFonts w:cs="Arial"/>
              </w:rPr>
              <w:jc w:val="both"/>
            </w:pPr>
            <w:r>
              <w:rPr>
                <w:rFonts w:cs="Arial"/>
              </w:rPr>
              <w:t xml:space="preserve">Size Reduction and Classification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B3A34" w14:textId="35FEB72D"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4E423" w14:textId="079E140B"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0E750" w14:textId="5673A9E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61A69E4F" w14:textId="7A60FF42"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IMPR-4103</w:t>
            </w:r>
          </w:p>
        </w:tc>
        <w:tc>
          <w:tcPr>
            <w:tcW w:w="1417" w:type="dxa"/>
            <w:tcBorders>
              <w:top w:val="single" w:sz="4" w:space="0" w:color="000000"/>
              <w:left w:val="single" w:sz="4" w:space="0" w:color="000000"/>
              <w:bottom w:val="single" w:sz="4" w:space="0" w:color="000000"/>
              <w:right w:val="single" w:sz="4" w:space="0" w:color="000000"/>
            </w:tcBorders>
            <w:vAlign w:val="center"/>
          </w:tcPr>
          <w:p w14:paraId="50142A05" w14:textId="37C9AE4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09CDC2E" w14:textId="2899BF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3490825"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7D6CF103"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5766F74D" w14:textId="2E667882"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MSR-4206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A1E84" w14:textId="2C29EFEA" w:rsidR="00274B8B" w:rsidRPr="008B6C93" w:rsidRDefault="00274B8B" w:rsidP="00274B8B">
            <w:pPr>
              <w:contextualSpacing/>
              <w:rPr>
                <w:rFonts w:cs="Arial"/>
              </w:rPr>
              <w:jc w:val="both"/>
            </w:pPr>
            <w:r>
              <w:rPr>
                <w:rFonts w:cs="Arial"/>
              </w:rPr>
              <w:t xml:space="preserve">Mineral Separation and Recovery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163C0" w14:textId="6DCD2FBA"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A6A0" w14:textId="48FF34BC"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B5114EE" w14:textId="0196FC9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409CA8E8" w14:textId="4B8DE28C"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IMPR-4103</w:t>
            </w:r>
          </w:p>
        </w:tc>
        <w:tc>
          <w:tcPr>
            <w:tcW w:w="1417" w:type="dxa"/>
            <w:tcBorders>
              <w:top w:val="single" w:sz="4" w:space="0" w:color="000000"/>
              <w:left w:val="single" w:sz="4" w:space="0" w:color="000000"/>
              <w:bottom w:val="single" w:sz="4" w:space="0" w:color="000000"/>
              <w:right w:val="single" w:sz="4" w:space="0" w:color="000000"/>
            </w:tcBorders>
            <w:vAlign w:val="center"/>
          </w:tcPr>
          <w:p w14:paraId="550899D5" w14:textId="2D65116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46025A25" w14:textId="1959BDF7"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563F4454"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3CA50F5"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03906E7F" w14:textId="228B0CA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PMRA-4207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BA70C" w14:textId="4B70A899" w:rsidR="00274B8B" w:rsidRPr="008B6C93" w:rsidRDefault="00274B8B" w:rsidP="00274B8B">
            <w:pPr>
              <w:contextualSpacing/>
              <w:rPr>
                <w:rFonts w:cs="Arial"/>
              </w:rPr>
              <w:jc w:val="both"/>
            </w:pPr>
            <w:r>
              <w:rPr>
                <w:rFonts w:cs="Arial"/>
              </w:rPr>
              <w:t xml:space="preserve">Process Monitoring and Routine Asset Care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7457F2" w14:textId="56F4FA7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5E978F" w14:textId="22E5BB3C"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1AE92F14" w14:textId="624CA48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7EBFDBEB" w14:textId="747FC1E3"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SEPM-4104</w:t>
            </w:r>
          </w:p>
        </w:tc>
        <w:tc>
          <w:tcPr>
            <w:tcW w:w="1417" w:type="dxa"/>
            <w:tcBorders>
              <w:top w:val="single" w:sz="4" w:space="0" w:color="000000"/>
              <w:left w:val="single" w:sz="4" w:space="0" w:color="000000"/>
              <w:bottom w:val="single" w:sz="4" w:space="0" w:color="000000"/>
              <w:right w:val="single" w:sz="4" w:space="0" w:color="000000"/>
            </w:tcBorders>
            <w:vAlign w:val="center"/>
          </w:tcPr>
          <w:p w14:paraId="2164B56B" w14:textId="22D977E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084B1" w14:textId="0BD8FA1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3D434964" w14:textId="77777777" w:rsidTr="00484777">
        <w:trPr>
          <w:trHeight w:val="23"/>
          <w:cantSplit/>
        </w:trPr>
        <w:tc>
          <w:tcPr>
            <w:tcW w:w="567" w:type="dxa"/>
            <w:tcBorders>
              <w:top w:val="single" w:sz="4" w:space="0" w:color="000000"/>
              <w:left w:val="single" w:sz="4" w:space="0" w:color="000000"/>
              <w:bottom w:val="single" w:sz="4" w:space="0" w:color="000000"/>
              <w:right w:val="single" w:sz="4" w:space="0" w:color="000000"/>
            </w:tcBorders>
          </w:tcPr>
          <w:p w14:paraId="542D3609"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657EEA35" w14:textId="4F5C89E1"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IMPO-4208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BE585" w14:textId="2C22506F" w:rsidR="00274B8B" w:rsidRPr="008B6C93" w:rsidRDefault="00274B8B" w:rsidP="00274B8B">
            <w:pPr>
              <w:contextualSpacing/>
              <w:rPr>
                <w:rFonts w:cs="Arial"/>
              </w:rPr>
              <w:jc w:val="both"/>
            </w:pPr>
            <w:r>
              <w:rPr>
                <w:rFonts w:cs="Arial"/>
              </w:rPr>
              <w:t xml:space="preserve">Integrated Mineral Processing Operations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D0F93C" w14:textId="1639A59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F62512" w14:textId="6AEF45E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F91F2D" w14:textId="7858A37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02DA995" w14:textId="3BBE8FFA"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SEPM-4104</w:t>
            </w:r>
          </w:p>
        </w:tc>
        <w:tc>
          <w:tcPr>
            <w:tcW w:w="1417" w:type="dxa"/>
            <w:tcBorders>
              <w:top w:val="single" w:sz="4" w:space="0" w:color="000000"/>
              <w:left w:val="single" w:sz="4" w:space="0" w:color="000000"/>
              <w:bottom w:val="single" w:sz="4" w:space="0" w:color="000000"/>
              <w:right w:val="single" w:sz="4" w:space="0" w:color="000000"/>
            </w:tcBorders>
            <w:vAlign w:val="center"/>
          </w:tcPr>
          <w:p w14:paraId="22CFA7BA" w14:textId="1DFDEC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13624D7C" w14:textId="317784B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1F7D683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66ABAEF" w14:textId="39219B25"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2-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79262E0" w14:textId="0CB6D46E"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E8158C" w14:textId="17BD5570"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738F8488" w14:textId="6BEE8A0A" w:rsidR="00552855" w:rsidRPr="008B6C93" w:rsidRDefault="0082754C"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3DC4C17" w14:textId="2A18B335"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156003C5" w14:textId="2C7D5D84"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240</w:t>
            </w:r>
          </w:p>
        </w:tc>
      </w:tr>
      <w:tr w:rsidR="00274B8B" w:rsidRPr="008B6C93" w14:paraId="19EB8D9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2914FDE6" w14:textId="170243F1" w:rsidR="00274B8B" w:rsidRPr="008B6C93" w:rsidRDefault="00274B8B" w:rsidP="00274B8B">
            <w:pPr>
              <w:pStyle w:val="BodyA"/>
              <w:contextualSpacing/>
              <w:rPr>
                <w:rFonts w:ascii="Arial" w:hAnsi="Arial" w:cs="Arial"/>
                <w:sz w:val="22"/>
                <w:szCs w:val="22"/>
              </w:rPr>
              <w:spacing w:after="0" w:line="240" w:lineRule="auto"/>
              <w:keepNext/>
            </w:pPr>
            <w:r w:rsidRPr="008B6C93">
              <w:rPr>
                <w:rFonts w:ascii="Arial" w:hAnsi="Arial" w:cs="Arial"/>
                <w:sz w:val="22"/>
                <w:szCs w:val="22"/>
              </w:rPr>
              <w:t>Year 1 Semester 1 (</w:t>
            </w:r>
            <w:r w:rsidR="00552855" w:rsidRPr="008B6C93">
              <w:rPr>
                <w:rFonts w:ascii="Arial" w:hAnsi="Arial" w:cs="Arial"/>
                <w:sz w:val="22"/>
                <w:szCs w:val="22"/>
              </w:rPr>
              <w:t>4</w:t>
            </w:r>
            <w:r w:rsidRPr="008B6C93">
              <w:rPr>
                <w:rFonts w:ascii="Arial" w:hAnsi="Arial" w:cs="Arial"/>
                <w:sz w:val="22"/>
                <w:szCs w:val="22"/>
              </w:rPr>
              <w:t>0 Credits) + Semester 2 (</w:t>
            </w:r>
            <w:r w:rsidR="00552855" w:rsidRPr="008B6C93">
              <w:rPr>
                <w:rFonts w:ascii="Arial" w:hAnsi="Arial" w:cs="Arial"/>
                <w:sz w:val="22"/>
                <w:szCs w:val="22"/>
              </w:rPr>
              <w:t>4</w:t>
            </w:r>
            <w:r w:rsidRPr="008B6C93">
              <w:rPr>
                <w:rFonts w:ascii="Arial" w:hAnsi="Arial" w:cs="Arial"/>
                <w:sz w:val="22"/>
                <w:szCs w:val="22"/>
              </w:rPr>
              <w:t xml:space="preserve">0 Credits) = </w:t>
            </w:r>
            <w:r w:rsidR="00552855" w:rsidRPr="008B6C93">
              <w:rPr>
                <w:rFonts w:ascii="Arial" w:hAnsi="Arial" w:cs="Arial"/>
                <w:sz w:val="22"/>
                <w:szCs w:val="22"/>
              </w:rPr>
              <w:t xml:space="preserve">80 Credits </w:t>
            </w:r>
          </w:p>
        </w:tc>
        <w:tc>
          <w:tcPr>
            <w:tcW w:w="1003" w:type="dxa"/>
            <w:tcBorders>
              <w:top w:val="single" w:sz="4" w:space="0" w:color="000000"/>
              <w:left w:val="single" w:sz="4" w:space="0" w:color="000000"/>
              <w:bottom w:val="single" w:sz="4" w:space="0" w:color="000000"/>
              <w:right w:val="single" w:sz="4" w:space="0" w:color="000000"/>
            </w:tcBorders>
            <w:shd w:val="clear" w:color="auto" w:fill="B7D4EF"/>
            <w:tcMar>
              <w:top w:w="80" w:type="dxa"/>
              <w:left w:w="80" w:type="dxa"/>
              <w:bottom w:w="80" w:type="dxa"/>
              <w:right w:w="80" w:type="dxa"/>
            </w:tcMar>
          </w:tcPr>
          <w:p w14:paraId="255D1F32" w14:textId="3E30E80A"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B7D4EF"/>
          </w:tcPr>
          <w:p w14:paraId="00829550" w14:textId="47BF2804"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800</w:t>
            </w:r>
          </w:p>
        </w:tc>
        <w:tc>
          <w:tcPr>
            <w:tcW w:w="1433" w:type="dxa"/>
            <w:tcBorders>
              <w:top w:val="single" w:sz="4" w:space="0" w:color="000000"/>
              <w:left w:val="single" w:sz="4" w:space="0" w:color="000000"/>
              <w:bottom w:val="single" w:sz="4" w:space="0" w:color="000000"/>
              <w:right w:val="single" w:sz="4" w:space="0" w:color="000000"/>
            </w:tcBorders>
            <w:shd w:val="clear" w:color="auto" w:fill="B7D4EF"/>
          </w:tcPr>
          <w:p w14:paraId="2CA6D0DE" w14:textId="66BC5D62" w:rsidR="00274B8B" w:rsidRPr="008B6C93" w:rsidRDefault="0082754C"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B7D4EF"/>
          </w:tcPr>
          <w:p w14:paraId="16A78DF9" w14:textId="1BB79236"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B7D4EF"/>
          </w:tcPr>
          <w:p w14:paraId="34FE46B6" w14:textId="0C59594F"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480</w:t>
            </w:r>
          </w:p>
        </w:tc>
      </w:tr>
    </w:tbl>
    <w:p w14:paraId="0C9746FE"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rPr>
          <w:rFonts w:ascii="Arial" w:hAnsi="Arial" w:cs="Arial"/>
          <w:sz w:val="22"/>
          <w:szCs w:val="22"/>
          <w:u w:val="single"/>
        </w:rPr>
      </w:pPr>
      <w:r w:rsidRPr="008B6C93">
        <w:rPr>
          <w:rFonts w:ascii="Arial" w:hAnsi="Arial" w:cs="Arial"/>
          <w:sz w:val="22"/>
          <w:szCs w:val="22"/>
          <w:u w:val="single"/>
        </w:rPr>
        <w:lastRenderedPageBreak/>
        <w:t>Qualification Structure by Outcomes and Fields of Learning</w:t>
      </w:r>
    </w:p>
    <w:p w14:paraId="50AA284D" w14:textId="77777777" w:rsidR="00C65B51" w:rsidRPr="008B6C93" w:rsidRDefault="00000000">
      <w:pPr>
        <w:rPr>
          <w:rFonts w:cs="Arial"/>
          <w:b/>
        </w:rPr>
        <w:keepNext/>
      </w:pPr>
      <w:r w:rsidRPr="008B6C93">
        <w:rPr>
          <w:rFonts w:cs="Arial"/>
          <w:b/>
        </w:rPr>
        <w:t>Qualification outcomes</w:t>
      </w:r>
    </w:p>
    <w:tbl>
      <w:tblPr>
        <w:tblStyle w:val="TableGrid"/>
        <w:tblLook w:val="04A0" w:firstRow="1" w:lastRow="0" w:firstColumn="1" w:lastColumn="0" w:noHBand="0" w:noVBand="1"/>
        <w:tblW w:w="0" w:type="auto"/>
        <w:tblInd w:w="108" w:type="dxa"/>
      </w:tblPr>
      <w:tblGrid>
        <w:gridCol w:w="709"/>
        <w:gridCol w:w="14423"/>
      </w:tblGrid>
      <w:tr w:rsidR="00484777" w:rsidRPr="008B6C93" w14:paraId="5BF969C8" w14:textId="77777777" w:rsidTr="00484777">
        <w:trPr>
          <w:cantSplit/>
        </w:trPr>
        <w:tc>
          <w:tcPr>
            <w:tcW w:w="709" w:type="dxa"/>
          </w:tcPr>
          <w:p w14:paraId="468487CC" w14:textId="7AB64E5E" w:rsidR="00484777" w:rsidRPr="008B6C93" w:rsidRDefault="00484777">
            <w:pPr>
              <w:rPr>
                <w:rFonts w:cs="Arial"/>
                <w:b/>
              </w:rPr>
              <w:keepNext/>
            </w:pPr>
            <w:r w:rsidRPr="008B6C93">
              <w:rPr>
                <w:rFonts w:cs="Arial"/>
              </w:rPr>
              <w:t>EO1</w:t>
            </w:r>
          </w:p>
        </w:tc>
        <w:tc>
          <w:tcPr>
            <w:tcW w:w="14423" w:type="dxa"/>
          </w:tcPr>
          <w:p w14:paraId="655A8050" w14:textId="22DDFD59" w:rsidR="00484777" w:rsidRPr="008B6C93" w:rsidRDefault="00484777" w:rsidP="00484777">
            <w:pPr>
              <w:rPr>
                <w:rFonts w:cs="Arial"/>
              </w:rPr>
              <w:keepNext/>
              <w:jc w:val="both"/>
            </w:pPr>
            <w:r>
              <w:rPr>
                <w:rFonts w:cs="Arial"/>
              </w:rPr>
              <w:t xml:space="preserve">Produce clear processing records and workplace communications using responsible digital and introductory AI practices.</w:t>
            </w:r>
          </w:p>
        </w:tc>
      </w:tr>
      <w:tr w:rsidR="00484777" w:rsidRPr="008B6C93" w14:paraId="21745936" w14:textId="77777777" w:rsidTr="00484777">
        <w:trPr>
          <w:cantSplit/>
        </w:trPr>
        <w:tc>
          <w:tcPr>
            <w:tcW w:w="709" w:type="dxa"/>
          </w:tcPr>
          <w:p w14:paraId="0A5C0D01" w14:textId="5A3ED714" w:rsidR="00484777" w:rsidRPr="008B6C93" w:rsidRDefault="00484777">
            <w:pPr>
              <w:rPr>
                <w:rFonts w:cs="Arial"/>
                <w:b/>
              </w:rPr>
            </w:pPr>
            <w:r w:rsidRPr="008B6C93">
              <w:rPr>
                <w:rFonts w:cs="Arial"/>
              </w:rPr>
              <w:t>EO2</w:t>
            </w:r>
          </w:p>
        </w:tc>
        <w:tc>
          <w:tcPr>
            <w:tcW w:w="14423" w:type="dxa"/>
          </w:tcPr>
          <w:p w14:paraId="086B8FB2" w14:textId="1B5E3A59" w:rsidR="00484777" w:rsidRPr="008B6C93" w:rsidRDefault="00484777" w:rsidP="00484777">
            <w:pPr>
              <w:rPr>
                <w:rFonts w:cs="Arial"/>
              </w:rPr>
              <w:jc w:val="both"/>
            </w:pPr>
            <w:r>
              <w:rPr>
                <w:rFonts w:cs="Arial"/>
              </w:rPr>
              <w:t xml:space="preserve">Characterise basic ore properties and obtain representative training samples using approved safe procedures and calculations.</w:t>
            </w:r>
          </w:p>
        </w:tc>
      </w:tr>
      <w:tr w:rsidR="00484777" w:rsidRPr="008B6C93" w14:paraId="20385BBB" w14:textId="77777777" w:rsidTr="00484777">
        <w:trPr>
          <w:cantSplit/>
        </w:trPr>
        <w:tc>
          <w:tcPr>
            <w:tcW w:w="709" w:type="dxa"/>
          </w:tcPr>
          <w:p w14:paraId="078F3347" w14:textId="08E82BC7" w:rsidR="00484777" w:rsidRPr="008B6C93" w:rsidRDefault="00484777">
            <w:pPr>
              <w:rPr>
                <w:rFonts w:cs="Arial"/>
                <w:b/>
              </w:rPr>
            </w:pPr>
            <w:r w:rsidRPr="008B6C93">
              <w:rPr>
                <w:rFonts w:cs="Arial"/>
              </w:rPr>
              <w:t>EO3</w:t>
            </w:r>
          </w:p>
        </w:tc>
        <w:tc>
          <w:tcPr>
            <w:tcW w:w="14423" w:type="dxa"/>
          </w:tcPr>
          <w:p w14:paraId="1BAEE949" w14:textId="37073F9F" w:rsidR="00484777" w:rsidRPr="008B6C93" w:rsidRDefault="00484777" w:rsidP="00484777">
            <w:pPr>
              <w:rPr>
                <w:rFonts w:cs="Arial"/>
                <w:b/>
              </w:rPr>
              <w:jc w:val="both"/>
            </w:pPr>
            <w:r>
              <w:rPr>
                <w:rFonts w:cs="Arial"/>
                <w:b/>
              </w:rPr>
              <w:t xml:space="preserve">Apply routine size-reduction, classification and separation principles in supervised models or simulations.</w:t>
            </w:r>
          </w:p>
        </w:tc>
      </w:tr>
      <w:tr w:rsidR="00484777" w:rsidRPr="008B6C93" w14:paraId="47013346" w14:textId="77777777" w:rsidTr="00484777">
        <w:trPr>
          <w:cantSplit/>
        </w:trPr>
        <w:tc>
          <w:tcPr>
            <w:tcW w:w="709" w:type="dxa"/>
          </w:tcPr>
          <w:p w14:paraId="2D23CFFB" w14:textId="477BC4B8" w:rsidR="00484777" w:rsidRPr="008B6C93" w:rsidRDefault="00484777">
            <w:pPr>
              <w:rPr>
                <w:rFonts w:cs="Arial"/>
                <w:b/>
              </w:rPr>
            </w:pPr>
            <w:r w:rsidRPr="008B6C93">
              <w:rPr>
                <w:rFonts w:cs="Arial"/>
              </w:rPr>
              <w:t>EO4</w:t>
            </w:r>
          </w:p>
        </w:tc>
        <w:tc>
          <w:tcPr>
            <w:tcW w:w="14423" w:type="dxa"/>
          </w:tcPr>
          <w:p w14:paraId="51EE88C1" w14:textId="254887C1" w:rsidR="00484777" w:rsidRPr="008B6C93" w:rsidRDefault="00484777" w:rsidP="00484777">
            <w:pPr>
              <w:rPr>
                <w:rFonts w:cs="Arial"/>
                <w:b/>
              </w:rPr>
              <w:jc w:val="both"/>
            </w:pPr>
            <w:r>
              <w:rPr>
                <w:rFonts w:cs="Arial"/>
                <w:b/>
              </w:rPr>
              <w:t xml:space="preserve">Interpret process data, perform routine asset-care checks and communicate deviations within delegated authority.</w:t>
            </w:r>
          </w:p>
        </w:tc>
      </w:tr>
      <w:tr w:rsidR="00484777" w:rsidRPr="008B6C93" w14:paraId="5F5FFFC3" w14:textId="77777777" w:rsidTr="00484777">
        <w:trPr>
          <w:cantSplit/>
        </w:trPr>
        <w:tc>
          <w:tcPr>
            <w:tcW w:w="709" w:type="dxa"/>
          </w:tcPr>
          <w:p w14:paraId="1418D222" w14:textId="65229C31" w:rsidR="00484777" w:rsidRPr="008B6C93" w:rsidRDefault="00484777">
            <w:pPr>
              <w:rPr>
                <w:rFonts w:cs="Arial"/>
                <w:b/>
              </w:rPr>
            </w:pPr>
            <w:r w:rsidRPr="008B6C93">
              <w:rPr>
                <w:rFonts w:cs="Arial"/>
              </w:rPr>
              <w:t>EO5</w:t>
            </w:r>
          </w:p>
        </w:tc>
        <w:tc>
          <w:tcPr>
            <w:tcW w:w="14423" w:type="dxa"/>
          </w:tcPr>
          <w:p w14:paraId="174223B1" w14:textId="18C9B074" w:rsidR="00484777" w:rsidRPr="008B6C93" w:rsidRDefault="00484777" w:rsidP="00484777">
            <w:pPr>
              <w:rPr>
                <w:rFonts w:cs="Arial"/>
                <w:b/>
              </w:rPr>
              <w:jc w:val="both"/>
            </w:pPr>
            <w:r>
              <w:rPr>
                <w:rFonts w:cs="Arial"/>
                <w:b/>
              </w:rPr>
              <w:t xml:space="preserve">Integrate safety, environmental controls and process evidence to resolve routine and selected unfamiliar operating problems and coordinate a bounded team task.</w:t>
            </w:r>
          </w:p>
        </w:tc>
      </w:tr>
    </w:tbl>
    <w:p w14:paraId="10285F5D" w14:textId="7B5B24E2" w:rsidR="00C65B51" w:rsidRPr="008B6C93" w:rsidRDefault="00C65B51" w:rsidP="00484777">
      <w:pPr>
        <w:rPr>
          <w:rFonts w:cs="Arial"/>
        </w:rPr>
      </w:pPr>
    </w:p>
    <w:p w14:paraId="77DF3E76"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Fields of Learning in the Republic of Namibia</w:t>
      </w: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4459"/>
      </w:tblGrid>
      <w:tr w:rsidR="00484777" w:rsidRPr="008B6C93" w14:paraId="32767CB0" w14:textId="77777777" w:rsidTr="00484777">
        <w:trPr>
          <w:cantSplit/>
          <w:tblHeader/>
        </w:trPr>
        <w:tc>
          <w:tcPr>
            <w:tcW w:w="567" w:type="dxa"/>
            <w:shd w:val="clear" w:color="auto" w:fill="D9D9D9"/>
          </w:tcPr>
          <w:p w14:paraId="59F6E304" w14:textId="77777777" w:rsidR="00484777" w:rsidRPr="008B6C93" w:rsidRDefault="00484777" w:rsidP="008862B1">
            <w:pPr>
              <w:pStyle w:val="ListParagraph"/>
              <w:rPr>
                <w:rFonts w:eastAsia="Calibri" w:cs="Arial"/>
                <w:lang w:val="en-US"/>
              </w:rPr>
              <w:keepNext/>
              <w:ind w:left="0" w:hanging="68"/>
            </w:pPr>
            <w:r w:rsidRPr="008B6C93">
              <w:rPr>
                <w:rFonts w:eastAsia="Calibri" w:cs="Arial"/>
                <w:lang w:val="en-US"/>
              </w:rPr>
              <w:t>No</w:t>
            </w:r>
          </w:p>
        </w:tc>
        <w:tc>
          <w:tcPr>
            <w:tcW w:w="14459" w:type="dxa"/>
            <w:shd w:val="clear" w:color="auto" w:fill="D9D9D9"/>
          </w:tcPr>
          <w:p w14:paraId="6F6FE379" w14:textId="083C77E8" w:rsidR="00484777" w:rsidRPr="008B6C93" w:rsidRDefault="00484777" w:rsidP="008862B1">
            <w:pPr>
              <w:pStyle w:val="ListParagraph"/>
              <w:rPr>
                <w:rFonts w:eastAsia="Calibri" w:cs="Arial"/>
                <w:lang w:val="en-US"/>
              </w:rPr>
              <w:keepNext/>
              <w:ind w:left="0"/>
            </w:pPr>
            <w:r w:rsidRPr="008B6C93">
              <w:rPr>
                <w:rFonts w:eastAsia="Calibri" w:cs="Arial"/>
                <w:lang w:val="en-US"/>
              </w:rPr>
              <w:t xml:space="preserve">NQF </w:t>
            </w:r>
            <w:r w:rsidRPr="008B6C93">
              <w:rPr>
                <w:rFonts w:eastAsia="Calibri" w:cs="Arial"/>
              </w:rPr>
              <w:t xml:space="preserve">Broad </w:t>
            </w:r>
            <w:r w:rsidRPr="008B6C93">
              <w:rPr>
                <w:rFonts w:eastAsia="Calibri" w:cs="Arial"/>
                <w:lang w:val="en-US"/>
              </w:rPr>
              <w:t xml:space="preserve">Field(s) </w:t>
            </w:r>
          </w:p>
        </w:tc>
      </w:tr>
      <w:tr w:rsidR="00484777" w:rsidRPr="008B6C93" w14:paraId="2BF09E3E" w14:textId="77777777" w:rsidTr="00484777">
        <w:trPr>
          <w:trHeight w:val="74"/>
          <w:cantSplit/>
        </w:trPr>
        <w:tc>
          <w:tcPr>
            <w:tcW w:w="567" w:type="dxa"/>
          </w:tcPr>
          <w:p w14:paraId="069A3CCA" w14:textId="77777777" w:rsidR="00484777" w:rsidRPr="008B6C93" w:rsidRDefault="00484777" w:rsidP="00484777">
            <w:pPr>
              <w:pStyle w:val="ListParagraph"/>
              <w:rPr>
                <w:rFonts w:eastAsia="Calibri" w:cs="Arial"/>
                <w:lang w:val="en-US"/>
              </w:rPr>
              <w:ind w:left="0"/>
            </w:pPr>
            <w:r w:rsidRPr="008B6C93">
              <w:rPr>
                <w:rFonts w:eastAsia="Calibri" w:cs="Arial"/>
                <w:lang w:val="en-US"/>
              </w:rPr>
              <w:t>1</w:t>
            </w:r>
          </w:p>
        </w:tc>
        <w:tc>
          <w:tcPr>
            <w:tcW w:w="14459" w:type="dxa"/>
            <w:vAlign w:val="center"/>
          </w:tcPr>
          <w:p w14:paraId="661AC47B" w14:textId="0C0258B3" w:rsidR="00484777" w:rsidRPr="008B6C93" w:rsidRDefault="00484777" w:rsidP="00484777">
            <w:pPr>
              <w:contextualSpacing/>
              <w:rPr>
                <w:rFonts w:cs="Arial"/>
              </w:rPr>
            </w:pPr>
            <w:r w:rsidRPr="008B6C93">
              <w:rPr>
                <w:rFonts w:cs="Arial"/>
              </w:rPr>
              <w:t>Agriculture and Nature Conservation</w:t>
            </w:r>
          </w:p>
        </w:tc>
      </w:tr>
      <w:tr w:rsidR="00484777" w:rsidRPr="008B6C93" w14:paraId="49BF5576" w14:textId="77777777" w:rsidTr="00484777">
        <w:trPr>
          <w:cantSplit/>
        </w:trPr>
        <w:tc>
          <w:tcPr>
            <w:tcW w:w="567" w:type="dxa"/>
          </w:tcPr>
          <w:p w14:paraId="48F37828" w14:textId="77777777" w:rsidR="00484777" w:rsidRPr="008B6C93" w:rsidRDefault="00484777" w:rsidP="00484777">
            <w:pPr>
              <w:pStyle w:val="ListParagraph"/>
              <w:rPr>
                <w:rFonts w:eastAsia="Calibri" w:cs="Arial"/>
                <w:lang w:val="en-US"/>
              </w:rPr>
              <w:ind w:left="0"/>
            </w:pPr>
            <w:r w:rsidRPr="008B6C93">
              <w:rPr>
                <w:rFonts w:eastAsia="Calibri" w:cs="Arial"/>
                <w:lang w:val="en-US"/>
              </w:rPr>
              <w:t>2</w:t>
            </w:r>
          </w:p>
        </w:tc>
        <w:tc>
          <w:tcPr>
            <w:tcW w:w="14459" w:type="dxa"/>
            <w:vAlign w:val="center"/>
          </w:tcPr>
          <w:p w14:paraId="3F5562E2" w14:textId="2029780C" w:rsidR="00484777" w:rsidRPr="008B6C93" w:rsidRDefault="00484777" w:rsidP="00484777">
            <w:pPr>
              <w:contextualSpacing/>
              <w:rPr>
                <w:rFonts w:cs="Arial"/>
              </w:rPr>
            </w:pPr>
            <w:r w:rsidRPr="008B6C93">
              <w:rPr>
                <w:rFonts w:cs="Arial"/>
              </w:rPr>
              <w:t>Business, Commerce and Management Studies</w:t>
            </w:r>
          </w:p>
        </w:tc>
      </w:tr>
      <w:tr w:rsidR="00484777" w:rsidRPr="008B6C93" w14:paraId="2F93D6D7" w14:textId="77777777" w:rsidTr="00484777">
        <w:trPr>
          <w:cantSplit/>
        </w:trPr>
        <w:tc>
          <w:tcPr>
            <w:tcW w:w="567" w:type="dxa"/>
          </w:tcPr>
          <w:p w14:paraId="4C3E7625" w14:textId="77777777" w:rsidR="00484777" w:rsidRPr="008B6C93" w:rsidRDefault="00484777" w:rsidP="00484777">
            <w:pPr>
              <w:pStyle w:val="ListParagraph"/>
              <w:rPr>
                <w:rFonts w:eastAsia="Calibri" w:cs="Arial"/>
                <w:lang w:val="en-US"/>
              </w:rPr>
              <w:ind w:left="0"/>
            </w:pPr>
            <w:r w:rsidRPr="008B6C93">
              <w:rPr>
                <w:rFonts w:eastAsia="Calibri" w:cs="Arial"/>
                <w:lang w:val="en-US"/>
              </w:rPr>
              <w:t>3</w:t>
            </w:r>
          </w:p>
        </w:tc>
        <w:tc>
          <w:tcPr>
            <w:tcW w:w="14459" w:type="dxa"/>
            <w:vAlign w:val="center"/>
          </w:tcPr>
          <w:p w14:paraId="134740F6" w14:textId="71EF337B" w:rsidR="00484777" w:rsidRPr="008B6C93" w:rsidRDefault="00484777" w:rsidP="00484777">
            <w:pPr>
              <w:contextualSpacing/>
              <w:rPr>
                <w:rFonts w:cs="Arial"/>
              </w:rPr>
            </w:pPr>
            <w:r w:rsidRPr="008B6C93">
              <w:rPr>
                <w:rFonts w:cs="Arial"/>
              </w:rPr>
              <w:t>Communication Studies and Language</w:t>
            </w:r>
          </w:p>
        </w:tc>
      </w:tr>
      <w:tr w:rsidR="00484777" w:rsidRPr="008B6C93" w14:paraId="091A200B" w14:textId="77777777" w:rsidTr="00484777">
        <w:trPr>
          <w:cantSplit/>
        </w:trPr>
        <w:tc>
          <w:tcPr>
            <w:tcW w:w="567" w:type="dxa"/>
          </w:tcPr>
          <w:p w14:paraId="55A5B5CB" w14:textId="77777777" w:rsidR="00484777" w:rsidRPr="008B6C93" w:rsidRDefault="00484777" w:rsidP="00484777">
            <w:pPr>
              <w:pStyle w:val="ListParagraph"/>
              <w:rPr>
                <w:rFonts w:eastAsia="Calibri" w:cs="Arial"/>
                <w:lang w:val="en-US"/>
              </w:rPr>
              <w:ind w:left="0"/>
            </w:pPr>
            <w:r w:rsidRPr="008B6C93">
              <w:rPr>
                <w:rFonts w:eastAsia="Calibri" w:cs="Arial"/>
                <w:lang w:val="en-US"/>
              </w:rPr>
              <w:t>4</w:t>
            </w:r>
          </w:p>
        </w:tc>
        <w:tc>
          <w:tcPr>
            <w:tcW w:w="14459" w:type="dxa"/>
            <w:vAlign w:val="center"/>
          </w:tcPr>
          <w:p w14:paraId="513C15B8" w14:textId="0096EEB2" w:rsidR="00484777" w:rsidRPr="008B6C93" w:rsidRDefault="00484777" w:rsidP="00484777">
            <w:pPr>
              <w:contextualSpacing/>
              <w:rPr>
                <w:rFonts w:cs="Arial"/>
              </w:rPr>
            </w:pPr>
            <w:r w:rsidRPr="008B6C93">
              <w:rPr>
                <w:rFonts w:cs="Arial"/>
              </w:rPr>
              <w:t>Culture and the Arts</w:t>
            </w:r>
          </w:p>
        </w:tc>
      </w:tr>
      <w:tr w:rsidR="00484777" w:rsidRPr="008B6C93" w14:paraId="01A5F9B3" w14:textId="77777777" w:rsidTr="00484777">
        <w:trPr>
          <w:cantSplit/>
        </w:trPr>
        <w:tc>
          <w:tcPr>
            <w:tcW w:w="567" w:type="dxa"/>
          </w:tcPr>
          <w:p w14:paraId="4A4C0490" w14:textId="77777777" w:rsidR="00484777" w:rsidRPr="008B6C93" w:rsidRDefault="00484777" w:rsidP="00484777">
            <w:pPr>
              <w:pStyle w:val="ListParagraph"/>
              <w:rPr>
                <w:rFonts w:eastAsia="Calibri" w:cs="Arial"/>
                <w:lang w:val="en-US"/>
              </w:rPr>
              <w:ind w:left="0"/>
            </w:pPr>
            <w:r w:rsidRPr="008B6C93">
              <w:rPr>
                <w:rFonts w:eastAsia="Calibri" w:cs="Arial"/>
                <w:lang w:val="en-US"/>
              </w:rPr>
              <w:t>5</w:t>
            </w:r>
          </w:p>
        </w:tc>
        <w:tc>
          <w:tcPr>
            <w:tcW w:w="14459" w:type="dxa"/>
            <w:vAlign w:val="center"/>
          </w:tcPr>
          <w:p w14:paraId="6157D57D" w14:textId="394FE3A1" w:rsidR="00484777" w:rsidRPr="008B6C93" w:rsidRDefault="00484777" w:rsidP="00484777">
            <w:pPr>
              <w:contextualSpacing/>
              <w:rPr>
                <w:rFonts w:cs="Arial"/>
              </w:rPr>
            </w:pPr>
            <w:r w:rsidRPr="008B6C93">
              <w:rPr>
                <w:rFonts w:cs="Arial"/>
              </w:rPr>
              <w:t>Education, Training and Development</w:t>
            </w:r>
          </w:p>
        </w:tc>
      </w:tr>
      <w:tr w:rsidR="00484777" w:rsidRPr="008B6C93" w14:paraId="15437FA5" w14:textId="77777777" w:rsidTr="00484777">
        <w:trPr>
          <w:cantSplit/>
        </w:trPr>
        <w:tc>
          <w:tcPr>
            <w:tcW w:w="567" w:type="dxa"/>
          </w:tcPr>
          <w:p w14:paraId="576900F9" w14:textId="77777777" w:rsidR="00484777" w:rsidRPr="008B6C93" w:rsidRDefault="00484777" w:rsidP="00484777">
            <w:pPr>
              <w:pStyle w:val="ListParagraph"/>
              <w:rPr>
                <w:rFonts w:eastAsia="Calibri" w:cs="Arial"/>
                <w:lang w:val="en-US"/>
              </w:rPr>
              <w:ind w:left="0"/>
            </w:pPr>
            <w:r w:rsidRPr="008B6C93">
              <w:rPr>
                <w:rFonts w:eastAsia="Calibri" w:cs="Arial"/>
                <w:lang w:val="en-US"/>
              </w:rPr>
              <w:t>6</w:t>
            </w:r>
          </w:p>
        </w:tc>
        <w:tc>
          <w:tcPr>
            <w:tcW w:w="14459" w:type="dxa"/>
            <w:vAlign w:val="center"/>
          </w:tcPr>
          <w:p w14:paraId="72572C18" w14:textId="48DC5D79" w:rsidR="00484777" w:rsidRPr="008B6C93" w:rsidRDefault="00484777" w:rsidP="00484777">
            <w:pPr>
              <w:contextualSpacing/>
              <w:rPr>
                <w:rFonts w:cs="Arial"/>
              </w:rPr>
            </w:pPr>
            <w:r w:rsidRPr="008B6C93">
              <w:rPr>
                <w:rFonts w:cs="Arial"/>
              </w:rPr>
              <w:t>Manufacturing, Engineering and Technology</w:t>
            </w:r>
          </w:p>
        </w:tc>
      </w:tr>
      <w:tr w:rsidR="00484777" w:rsidRPr="008B6C93" w14:paraId="20F8F484" w14:textId="77777777" w:rsidTr="00484777">
        <w:trPr>
          <w:cantSplit/>
        </w:trPr>
        <w:tc>
          <w:tcPr>
            <w:tcW w:w="567" w:type="dxa"/>
          </w:tcPr>
          <w:p w14:paraId="59849835" w14:textId="77777777" w:rsidR="00484777" w:rsidRPr="008B6C93" w:rsidRDefault="00484777" w:rsidP="00484777">
            <w:pPr>
              <w:pStyle w:val="ListParagraph"/>
              <w:rPr>
                <w:rFonts w:eastAsia="Calibri" w:cs="Arial"/>
                <w:lang w:val="en-US"/>
              </w:rPr>
              <w:ind w:left="0"/>
            </w:pPr>
            <w:r w:rsidRPr="008B6C93">
              <w:rPr>
                <w:rFonts w:eastAsia="Calibri" w:cs="Arial"/>
                <w:lang w:val="en-US"/>
              </w:rPr>
              <w:t>7</w:t>
            </w:r>
          </w:p>
        </w:tc>
        <w:tc>
          <w:tcPr>
            <w:tcW w:w="14459" w:type="dxa"/>
            <w:vAlign w:val="center"/>
          </w:tcPr>
          <w:p w14:paraId="4ED01D18" w14:textId="48FAC2EC" w:rsidR="00484777" w:rsidRPr="008B6C93" w:rsidRDefault="00484777" w:rsidP="00484777">
            <w:pPr>
              <w:contextualSpacing/>
              <w:rPr>
                <w:rFonts w:cs="Arial"/>
              </w:rPr>
            </w:pPr>
            <w:r w:rsidRPr="008B6C93">
              <w:rPr>
                <w:rFonts w:cs="Arial"/>
              </w:rPr>
              <w:t>Human and Social Studies</w:t>
            </w:r>
          </w:p>
        </w:tc>
      </w:tr>
      <w:tr w:rsidR="00484777" w:rsidRPr="008B6C93" w14:paraId="54696A55" w14:textId="77777777" w:rsidTr="00484777">
        <w:trPr>
          <w:cantSplit/>
        </w:trPr>
        <w:tc>
          <w:tcPr>
            <w:tcW w:w="567" w:type="dxa"/>
          </w:tcPr>
          <w:p w14:paraId="09C93AC8" w14:textId="77777777" w:rsidR="00484777" w:rsidRPr="008B6C93" w:rsidRDefault="00484777" w:rsidP="00484777">
            <w:pPr>
              <w:pStyle w:val="ListParagraph"/>
              <w:rPr>
                <w:rFonts w:eastAsia="Calibri" w:cs="Arial"/>
                <w:lang w:val="en-US"/>
              </w:rPr>
              <w:ind w:left="0"/>
            </w:pPr>
            <w:r w:rsidRPr="008B6C93">
              <w:rPr>
                <w:rFonts w:eastAsia="Calibri" w:cs="Arial"/>
                <w:lang w:val="en-US"/>
              </w:rPr>
              <w:t>8</w:t>
            </w:r>
          </w:p>
        </w:tc>
        <w:tc>
          <w:tcPr>
            <w:tcW w:w="14459" w:type="dxa"/>
            <w:vAlign w:val="center"/>
          </w:tcPr>
          <w:p w14:paraId="07E0C16F" w14:textId="5714BB03" w:rsidR="00484777" w:rsidRPr="008B6C93" w:rsidRDefault="00484777" w:rsidP="00484777">
            <w:pPr>
              <w:contextualSpacing/>
              <w:rPr>
                <w:rFonts w:cs="Arial"/>
              </w:rPr>
            </w:pPr>
            <w:r w:rsidRPr="008B6C93">
              <w:rPr>
                <w:rFonts w:cs="Arial"/>
              </w:rPr>
              <w:t>Law, Military Science and Security</w:t>
            </w:r>
          </w:p>
        </w:tc>
      </w:tr>
      <w:tr w:rsidR="00484777" w:rsidRPr="008B6C93" w14:paraId="24343AB2" w14:textId="77777777" w:rsidTr="00484777">
        <w:trPr>
          <w:cantSplit/>
        </w:trPr>
        <w:tc>
          <w:tcPr>
            <w:tcW w:w="567" w:type="dxa"/>
          </w:tcPr>
          <w:p w14:paraId="6B2122C2" w14:textId="77777777" w:rsidR="00484777" w:rsidRPr="008B6C93" w:rsidRDefault="00484777" w:rsidP="00484777">
            <w:pPr>
              <w:pStyle w:val="ListParagraph"/>
              <w:rPr>
                <w:rFonts w:eastAsia="Calibri" w:cs="Arial"/>
                <w:lang w:val="en-US"/>
              </w:rPr>
              <w:ind w:left="0"/>
            </w:pPr>
            <w:r w:rsidRPr="008B6C93">
              <w:rPr>
                <w:rFonts w:eastAsia="Calibri" w:cs="Arial"/>
                <w:lang w:val="en-US"/>
              </w:rPr>
              <w:t>9</w:t>
            </w:r>
          </w:p>
        </w:tc>
        <w:tc>
          <w:tcPr>
            <w:tcW w:w="14459" w:type="dxa"/>
            <w:vAlign w:val="center"/>
          </w:tcPr>
          <w:p w14:paraId="713F4B2F" w14:textId="515755C7" w:rsidR="00484777" w:rsidRPr="008B6C93" w:rsidRDefault="00484777" w:rsidP="00484777">
            <w:pPr>
              <w:contextualSpacing/>
              <w:rPr>
                <w:rFonts w:cs="Arial"/>
              </w:rPr>
            </w:pPr>
            <w:r w:rsidRPr="008B6C93">
              <w:rPr>
                <w:rFonts w:cs="Arial"/>
              </w:rPr>
              <w:t>Health Sciences and Social Services</w:t>
            </w:r>
          </w:p>
        </w:tc>
      </w:tr>
      <w:tr w:rsidR="00484777" w:rsidRPr="008B6C93" w14:paraId="320466B5" w14:textId="77777777" w:rsidTr="00484777">
        <w:trPr>
          <w:cantSplit/>
        </w:trPr>
        <w:tc>
          <w:tcPr>
            <w:tcW w:w="567" w:type="dxa"/>
          </w:tcPr>
          <w:p w14:paraId="02BC7272" w14:textId="77777777" w:rsidR="00484777" w:rsidRPr="008B6C93" w:rsidRDefault="00484777" w:rsidP="00484777">
            <w:pPr>
              <w:pStyle w:val="ListParagraph"/>
              <w:rPr>
                <w:rFonts w:eastAsia="Calibri" w:cs="Arial"/>
                <w:lang w:val="en-US"/>
              </w:rPr>
              <w:ind w:left="0"/>
            </w:pPr>
            <w:r w:rsidRPr="008B6C93">
              <w:rPr>
                <w:rFonts w:eastAsia="Calibri" w:cs="Arial"/>
                <w:lang w:val="en-US"/>
              </w:rPr>
              <w:t>10</w:t>
            </w:r>
          </w:p>
        </w:tc>
        <w:tc>
          <w:tcPr>
            <w:tcW w:w="14459" w:type="dxa"/>
            <w:vAlign w:val="center"/>
          </w:tcPr>
          <w:p w14:paraId="127F203C" w14:textId="1E829E85" w:rsidR="00484777" w:rsidRPr="008B6C93" w:rsidRDefault="00484777" w:rsidP="00484777">
            <w:pPr>
              <w:contextualSpacing/>
              <w:rPr>
                <w:rFonts w:cs="Arial"/>
              </w:rPr>
            </w:pPr>
            <w:r w:rsidRPr="008B6C93">
              <w:rPr>
                <w:rFonts w:cs="Arial"/>
              </w:rPr>
              <w:t>Physical, Mathematical and Computer Sciences</w:t>
            </w:r>
          </w:p>
        </w:tc>
      </w:tr>
      <w:tr w:rsidR="00484777" w:rsidRPr="008B6C93" w14:paraId="62261864" w14:textId="77777777" w:rsidTr="00484777">
        <w:trPr>
          <w:cantSplit/>
        </w:trPr>
        <w:tc>
          <w:tcPr>
            <w:tcW w:w="567" w:type="dxa"/>
          </w:tcPr>
          <w:p w14:paraId="6DE4EE1D" w14:textId="77777777" w:rsidR="00484777" w:rsidRPr="008B6C93" w:rsidRDefault="00484777" w:rsidP="00484777">
            <w:pPr>
              <w:pStyle w:val="ListParagraph"/>
              <w:rPr>
                <w:rFonts w:eastAsia="Calibri" w:cs="Arial"/>
                <w:lang w:val="en-US"/>
              </w:rPr>
              <w:ind w:left="0"/>
            </w:pPr>
            <w:r w:rsidRPr="008B6C93">
              <w:rPr>
                <w:rFonts w:eastAsia="Calibri" w:cs="Arial"/>
                <w:lang w:val="en-US"/>
              </w:rPr>
              <w:t>11</w:t>
            </w:r>
          </w:p>
        </w:tc>
        <w:tc>
          <w:tcPr>
            <w:tcW w:w="14459" w:type="dxa"/>
            <w:vAlign w:val="center"/>
          </w:tcPr>
          <w:p w14:paraId="028FCFDE" w14:textId="14080506" w:rsidR="00484777" w:rsidRPr="008B6C93" w:rsidRDefault="00484777" w:rsidP="00484777">
            <w:pPr>
              <w:contextualSpacing/>
              <w:rPr>
                <w:rFonts w:cs="Arial"/>
              </w:rPr>
            </w:pPr>
            <w:r w:rsidRPr="008B6C93">
              <w:rPr>
                <w:rFonts w:cs="Arial"/>
              </w:rPr>
              <w:t>Physical Planning and Construction</w:t>
            </w:r>
          </w:p>
        </w:tc>
      </w:tr>
      <w:tr w:rsidR="00484777" w:rsidRPr="008B6C93" w14:paraId="68E938D4" w14:textId="77777777" w:rsidTr="00484777">
        <w:trPr>
          <w:cantSplit/>
        </w:trPr>
        <w:tc>
          <w:tcPr>
            <w:tcW w:w="567" w:type="dxa"/>
          </w:tcPr>
          <w:p w14:paraId="6A829CA1" w14:textId="77777777" w:rsidR="00484777" w:rsidRPr="008B6C93" w:rsidRDefault="00484777" w:rsidP="00484777">
            <w:pPr>
              <w:pStyle w:val="ListParagraph"/>
              <w:rPr>
                <w:rFonts w:eastAsia="Calibri" w:cs="Arial"/>
                <w:lang w:val="en-US"/>
              </w:rPr>
              <w:ind w:left="0"/>
            </w:pPr>
            <w:r w:rsidRPr="008B6C93">
              <w:rPr>
                <w:rFonts w:eastAsia="Calibri" w:cs="Arial"/>
                <w:lang w:val="en-US"/>
              </w:rPr>
              <w:t>12</w:t>
            </w:r>
          </w:p>
        </w:tc>
        <w:tc>
          <w:tcPr>
            <w:tcW w:w="14459" w:type="dxa"/>
            <w:vAlign w:val="center"/>
          </w:tcPr>
          <w:p w14:paraId="2FBFB756" w14:textId="12B56D35" w:rsidR="00484777" w:rsidRPr="008B6C93" w:rsidRDefault="00484777" w:rsidP="00484777">
            <w:pPr>
              <w:contextualSpacing/>
              <w:rPr>
                <w:rFonts w:cs="Arial"/>
              </w:rPr>
            </w:pPr>
            <w:r w:rsidRPr="008B6C93">
              <w:rPr>
                <w:rFonts w:cs="Arial"/>
              </w:rPr>
              <w:t>Services and Life Sciences</w:t>
            </w:r>
          </w:p>
        </w:tc>
      </w:tr>
    </w:tbl>
    <w:p w14:paraId="77D6601B"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lastRenderedPageBreak/>
        <w:t>Module Outcomes and Fields of Learning</w:t>
      </w:r>
    </w:p>
    <w:p w14:paraId="7ED621AA" w14:textId="467050DF" w:rsidR="00C65B51" w:rsidRPr="008B6C93" w:rsidRDefault="00000000" w:rsidP="00484777">
      <w:pPr>
        <w:jc w:val="both"/>
        <w:rPr>
          <w:rFonts w:cs="Arial"/>
        </w:rPr>
        <w:keepNext/>
      </w:pPr>
      <w:r w:rsidRPr="008B6C93">
        <w:rPr>
          <w:rFonts w:cs="Arial"/>
        </w:rPr>
        <w:t>The following matrix uses proposed broad-field and subfield classifications. The qualification outcomes are coded EO1 to EO5; the detailed outcomes and indicative assessment evidence follow the matrix.</w:t>
      </w:r>
    </w:p>
    <w:p w14:paraId="70B16971" w14:textId="77777777" w:rsidR="00C65B51" w:rsidRPr="008B6C93" w:rsidRDefault="00000000">
      <w:pPr>
        <w:rPr>
          <w:rFonts w:cs="Arial"/>
        </w:rPr>
      </w:pPr>
      <w:r>
        <w:rPr>
          <w:rFonts w:cs="Arial"/>
        </w:rPr>
        <w:t xml:space="preserve">Yr = year; Sem = semester; L = NQF level; Cr = credits; NH = notional hours; CH = contact hours. Broad-field numbers refer to the preceding national field list. M01–M08 refer to the numbered courses in this qualification.</w:t>
      </w:r>
    </w:p>
    <w:p w14:paraId="1C209BC4" w14:textId="77777777" w:rsidR="00484777" w:rsidRPr="008B6C93" w:rsidRDefault="00484777">
      <w:pPr>
        <w:rPr>
          <w:rFonts w:cs="Arial"/>
        </w:rPr>
      </w:pPr>
    </w:p>
    <w:tbl>
      <w:tblPr>
        <w:tblLook w:val="0000" w:firstRow="0" w:lastRow="0" w:firstColumn="0" w:lastColumn="0" w:noHBand="0" w:noVBand="0"/>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Pr>
      <w:tblGrid>
        <w:gridCol w:w="567"/>
        <w:gridCol w:w="1247"/>
        <w:gridCol w:w="425"/>
        <w:gridCol w:w="567"/>
        <w:gridCol w:w="1560"/>
        <w:gridCol w:w="3260"/>
        <w:gridCol w:w="425"/>
        <w:gridCol w:w="426"/>
        <w:gridCol w:w="708"/>
        <w:gridCol w:w="1418"/>
        <w:gridCol w:w="567"/>
        <w:gridCol w:w="1870"/>
        <w:gridCol w:w="1843"/>
      </w:tblGrid>
      <w:tr w:rsidR="00484777" w:rsidRPr="008B6C93" w14:paraId="3EDCF111" w14:textId="77777777" w:rsidTr="008862B1">
        <w:trPr>
          <w:cantSplit/>
          <w:trHeight w:val="1842"/>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3C3BA02E"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567CD209"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Pr>
          <w:p w14:paraId="0D928E7F"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Year </w:t>
            </w:r>
            <w:r w:rsidRPr="008B6C93">
              <w:rPr>
                <w:rStyle w:val="FootnoteReference"/>
                <w:rFonts w:ascii="Arial" w:hAnsi="Arial" w:cs="Arial"/>
                <w:sz w:val="22"/>
                <w:szCs w:val="22"/>
                <w:lang w:val="en-GB"/>
              </w:rPr>
              <w:footnoteReference w:id="8"/>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4A714ED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Semester </w:t>
            </w:r>
            <w:r w:rsidRPr="008B6C93">
              <w:rPr>
                <w:rStyle w:val="FootnoteReference"/>
                <w:rFonts w:ascii="Arial" w:hAnsi="Arial" w:cs="Arial"/>
                <w:sz w:val="22"/>
                <w:szCs w:val="22"/>
                <w:lang w:val="en-GB"/>
              </w:rPr>
              <w:footnoteReference w:id="9"/>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EA6A7D" w14:textId="77777777" w:rsidR="00484777" w:rsidRPr="008B6C93" w:rsidRDefault="00484777"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77043C3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Learning Outcomes</w:t>
            </w:r>
            <w:r w:rsidRPr="008B6C93">
              <w:rPr>
                <w:rStyle w:val="FootnoteReference"/>
                <w:rFonts w:ascii="Arial" w:hAnsi="Arial" w:cs="Arial"/>
                <w:sz w:val="22"/>
                <w:szCs w:val="22"/>
                <w:lang w:val="en-GB"/>
              </w:rPr>
              <w:footnoteReference w:id="10"/>
            </w:r>
            <w:r w:rsidRPr="008B6C93">
              <w:rPr>
                <w:rStyle w:val="None"/>
                <w:rFonts w:ascii="Arial" w:hAnsi="Arial" w:cs="Arial"/>
                <w:sz w:val="22"/>
                <w:szCs w:val="22"/>
                <w:lang w:val="en-GB"/>
              </w:rPr>
              <w:t xml:space="preserve"> </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885E429"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NQF Level</w:t>
            </w:r>
          </w:p>
        </w:tc>
        <w:tc>
          <w:tcPr>
            <w:textDirection w:val="btLr"/>
            <w:tcW w:w="4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38EFA4C"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Credits</w:t>
            </w:r>
          </w:p>
        </w:tc>
        <w:tc>
          <w:tcPr>
            <w:textDirection w:val="btLr"/>
            <w:tcW w:w="708" w:type="dxa"/>
            <w:tcBorders>
              <w:top w:val="single" w:sz="4" w:space="0" w:color="000000"/>
              <w:left w:val="single" w:sz="4" w:space="0" w:color="000000"/>
              <w:bottom w:val="single" w:sz="4" w:space="0" w:color="000000"/>
              <w:right w:val="single" w:sz="4" w:space="0" w:color="000000"/>
            </w:tcBorders>
            <w:shd w:val="clear" w:color="auto" w:fill="D9D9D9"/>
          </w:tcPr>
          <w:p w14:paraId="5F2503C2"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Notional Hours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2A0E14A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793A0E38"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Contact Hours </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Pr>
          <w:p w14:paraId="4340813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Field</w:t>
            </w:r>
            <w:r w:rsidRPr="008B6C93">
              <w:rPr>
                <w:rStyle w:val="FootnoteReference"/>
                <w:rFonts w:ascii="Arial" w:hAnsi="Arial" w:cs="Arial"/>
                <w:sz w:val="22"/>
                <w:szCs w:val="22"/>
                <w:lang w:val="en-GB"/>
              </w:rPr>
              <w:footnoteReference w:id="11"/>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1CA9F306"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Sub-Field</w:t>
            </w:r>
            <w:r w:rsidRPr="008B6C93">
              <w:rPr>
                <w:rStyle w:val="FootnoteReference"/>
                <w:rFonts w:ascii="Arial" w:hAnsi="Arial" w:cs="Arial"/>
                <w:sz w:val="22"/>
                <w:szCs w:val="22"/>
                <w:lang w:val="en-GB"/>
              </w:rPr>
              <w:footnoteReference w:id="12"/>
            </w:r>
            <w:r w:rsidRPr="008B6C93">
              <w:rPr>
                <w:rStyle w:val="None"/>
                <w:rFonts w:ascii="Arial" w:hAnsi="Arial" w:cs="Arial"/>
                <w:sz w:val="22"/>
                <w:szCs w:val="22"/>
                <w:lang w:val="en-GB"/>
              </w:rPr>
              <w:t xml:space="preserve"> </w:t>
            </w:r>
          </w:p>
        </w:tc>
      </w:tr>
      <w:tr w:rsidR="00FF096D" w:rsidRPr="008B6C93" w14:paraId="15ECC3B8" w14:textId="77777777" w:rsidTr="00BA69FF">
        <w:trPr>
          <w:cantSplit/>
          <w:trHeight w:val="159"/>
        </w:trPr>
        <w:tc>
          <w:tcPr>
            <w:tcW w:w="567" w:type="dxa"/>
            <w:tcBorders>
              <w:top w:val="single" w:sz="4" w:space="0" w:color="000000"/>
              <w:left w:val="single" w:sz="4" w:space="0" w:color="000000"/>
              <w:bottom w:val="single" w:sz="4" w:space="0" w:color="000000"/>
              <w:right w:val="single" w:sz="4" w:space="0" w:color="000000"/>
            </w:tcBorders>
          </w:tcPr>
          <w:p w14:paraId="3D18E262" w14:textId="77777777" w:rsidR="00FF096D" w:rsidRPr="008B6C93" w:rsidRDefault="00FF096D" w:rsidP="00FF096D">
            <w:pPr>
              <w:numPr>
                <w:ilvl w:val="0"/>
                <w:numId w:val="16"/>
              </w:numPr>
              <w:contextualSpacing/>
              <w:rPr>
                <w:rFonts w:cs="Arial"/>
              </w:rPr>
              <w:spacing w:after="0" w:line="240" w:lineRule="auto"/>
            </w:pPr>
            <w:r>
              <w:rPr>
                <w:rFonts w:cs="Arial"/>
              </w:rPr>
              <w:t xml:space="preserve">1</w:t>
            </w:r>
          </w:p>
        </w:tc>
        <w:tc>
          <w:tcPr>
            <w:tcW w:w="1247" w:type="dxa"/>
            <w:tcBorders>
              <w:top w:val="single" w:sz="4" w:space="0" w:color="000000"/>
              <w:left w:val="single" w:sz="4" w:space="0" w:color="000000"/>
              <w:bottom w:val="single" w:sz="4" w:space="0" w:color="000000"/>
              <w:right w:val="single" w:sz="4" w:space="0" w:color="000000"/>
            </w:tcBorders>
            <w:vAlign w:val="center"/>
          </w:tcPr>
          <w:p w14:paraId="7EB18ED5" w14:textId="45E60436"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425" w:type="dxa"/>
            <w:tcBorders>
              <w:top w:val="single" w:sz="4" w:space="0" w:color="000000"/>
              <w:left w:val="single" w:sz="4" w:space="0" w:color="000000"/>
              <w:bottom w:val="single" w:sz="4" w:space="0" w:color="000000"/>
              <w:right w:val="single" w:sz="4" w:space="0" w:color="000000"/>
            </w:tcBorders>
          </w:tcPr>
          <w:p w14:paraId="7CC17B49" w14:textId="295174E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5A38DBE" w14:textId="42C8B84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816CFF" w14:textId="4C011DCD"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3260" w:type="dxa"/>
            <w:tcBorders>
              <w:top w:val="single" w:sz="4" w:space="0" w:color="000000"/>
              <w:left w:val="single" w:sz="4" w:space="0" w:color="000000"/>
              <w:bottom w:val="single" w:sz="4" w:space="0" w:color="000000"/>
              <w:right w:val="single" w:sz="4" w:space="0" w:color="000000"/>
            </w:tcBorders>
            <w:vAlign w:val="center"/>
          </w:tcPr>
          <w:p w14:paraId="163F243E" w14:textId="1EA31B83" w:rsidR="00FF096D" w:rsidRPr="008B6C93" w:rsidRDefault="00FF096D" w:rsidP="00FF096D">
            <w:pPr>
              <w:rPr>
                <w:rFonts w:cs="Arial"/>
              </w:rPr>
              <w:jc w:val="both"/>
            </w:pPr>
            <w:r>
              <w:rPr>
                <w:rFonts w:cs="Arial"/>
              </w:rPr>
              <w:t xml:space="preserve">Analyse workplace texts and source reliability, resolve conflicting instructions, and communicate reasoned responses through audience-appropriate referenced writing and discussion, taking responsibility for revising work after feedback.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E1B72" w14:textId="0E728B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F8B61" w14:textId="1F00A5A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EA2CD1A" w14:textId="76E01A1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16A30F27" w14:textId="10565A1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8890132" w14:textId="6B9D233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0AFF8D38" w14:textId="746F44F5"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Communication Studies and Language</w:t>
            </w:r>
          </w:p>
        </w:tc>
        <w:tc>
          <w:tcPr>
            <w:tcW w:w="1843" w:type="dxa"/>
            <w:tcBorders>
              <w:top w:val="single" w:sz="4" w:space="0" w:color="000000"/>
              <w:left w:val="single" w:sz="4" w:space="0" w:color="000000"/>
              <w:bottom w:val="single" w:sz="4" w:space="0" w:color="000000"/>
              <w:right w:val="single" w:sz="4" w:space="0" w:color="000000"/>
            </w:tcBorders>
            <w:vAlign w:val="center"/>
          </w:tcPr>
          <w:p w14:paraId="08D95DB6" w14:textId="5AD5E6AC" w:rsidR="00FF096D" w:rsidRPr="008B6C93" w:rsidRDefault="00FF096D" w:rsidP="00FF096D">
            <w:pPr>
              <w:contextualSpacing/>
              <w:rPr>
                <w:rFonts w:cs="Arial"/>
              </w:rPr>
              <w:jc w:val="both"/>
            </w:pPr>
            <w:r>
              <w:rPr>
                <w:rFonts w:cs="Arial"/>
              </w:rPr>
              <w:t xml:space="preserve">Communication and literacy</w:t>
            </w:r>
          </w:p>
        </w:tc>
      </w:tr>
      <w:tr w:rsidR="00FF096D" w:rsidRPr="008B6C93" w14:paraId="1FB0513D"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71D30F4" w14:textId="77777777" w:rsidR="00FF096D" w:rsidRPr="008B6C93" w:rsidRDefault="00FF096D" w:rsidP="00FF096D">
            <w:pPr>
              <w:numPr>
                <w:ilvl w:val="0"/>
                <w:numId w:val="16"/>
              </w:numPr>
              <w:contextualSpacing/>
              <w:rPr>
                <w:rFonts w:cs="Arial"/>
              </w:rPr>
              <w:spacing w:after="0" w:line="240" w:lineRule="auto"/>
            </w:pPr>
            <w:r>
              <w:rPr>
                <w:rFonts w:cs="Arial"/>
              </w:rPr>
              <w:t xml:space="preserve">2</w:t>
            </w:r>
          </w:p>
        </w:tc>
        <w:tc>
          <w:tcPr>
            <w:tcW w:w="1247" w:type="dxa"/>
            <w:tcBorders>
              <w:top w:val="single" w:sz="4" w:space="0" w:color="000000"/>
              <w:left w:val="single" w:sz="4" w:space="0" w:color="000000"/>
              <w:bottom w:val="single" w:sz="4" w:space="0" w:color="000000"/>
              <w:right w:val="single" w:sz="4" w:space="0" w:color="000000"/>
            </w:tcBorders>
            <w:vAlign w:val="center"/>
          </w:tcPr>
          <w:p w14:paraId="75EBC293" w14:textId="0DF5EF08"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425" w:type="dxa"/>
            <w:tcBorders>
              <w:top w:val="single" w:sz="4" w:space="0" w:color="000000"/>
              <w:left w:val="single" w:sz="4" w:space="0" w:color="000000"/>
              <w:bottom w:val="single" w:sz="4" w:space="0" w:color="000000"/>
              <w:right w:val="single" w:sz="4" w:space="0" w:color="000000"/>
            </w:tcBorders>
          </w:tcPr>
          <w:p w14:paraId="70947B9C" w14:textId="78DC2B4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0B56F368" w14:textId="0B0924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48745" w14:textId="25E748FE"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3260" w:type="dxa"/>
            <w:tcBorders>
              <w:top w:val="single" w:sz="4" w:space="0" w:color="000000"/>
              <w:left w:val="single" w:sz="4" w:space="0" w:color="000000"/>
              <w:bottom w:val="single" w:sz="4" w:space="0" w:color="000000"/>
              <w:right w:val="single" w:sz="4" w:space="0" w:color="000000"/>
            </w:tcBorders>
            <w:vAlign w:val="center"/>
          </w:tcPr>
          <w:p w14:paraId="0B86152C" w14:textId="618AFBEB" w:rsidR="00FF096D" w:rsidRPr="008B6C93" w:rsidRDefault="00FF096D" w:rsidP="00FF096D">
            <w:pPr>
              <w:rPr>
                <w:rFonts w:cs="Arial"/>
              </w:rPr>
              <w:jc w:val="both"/>
            </w:pPr>
            <w:r>
              <w:rPr>
                <w:rFonts w:cs="Arial"/>
              </w:rPr>
              <w:t xml:space="preserve">Select and justify digital tools to organise records, calculate results and communicate bounded task responses, generating and refining secure, privacy-conscious AI-assisted work while verifying outputs, correcting errors and disclosing assistance and limitations.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6E7D1" w14:textId="0E569C9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80490" w14:textId="2BC1D61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5B3AE4E" w14:textId="463E577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59329D56" w14:textId="5CE45D3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5CAC328" w14:textId="1063F91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4EAD9C57" w14:textId="565F07B3"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Physical, Mathematical and Computer Sciences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75538208" w14:textId="2F3EFCE2" w:rsidR="00FF096D" w:rsidRPr="008B6C93" w:rsidRDefault="00FF096D" w:rsidP="00FF096D">
            <w:pPr>
              <w:contextualSpacing/>
              <w:rPr>
                <w:rFonts w:cs="Arial"/>
              </w:rPr>
              <w:jc w:val="both"/>
            </w:pPr>
            <w:r>
              <w:rPr>
                <w:rFonts w:cs="Arial"/>
              </w:rPr>
              <w:t xml:space="preserve">Digital literacy and artificial intelligence</w:t>
            </w:r>
          </w:p>
        </w:tc>
      </w:tr>
      <w:tr w:rsidR="00FF096D" w:rsidRPr="008B6C93" w14:paraId="6B502E47"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A294D07" w14:textId="77777777" w:rsidR="00FF096D" w:rsidRPr="008B6C93" w:rsidRDefault="00FF096D" w:rsidP="00FF096D">
            <w:pPr>
              <w:numPr>
                <w:ilvl w:val="0"/>
                <w:numId w:val="16"/>
              </w:numPr>
              <w:contextualSpacing/>
              <w:rPr>
                <w:rFonts w:cs="Arial"/>
              </w:rPr>
              <w:spacing w:after="0" w:line="240" w:lineRule="auto"/>
            </w:pPr>
            <w:r>
              <w:rPr>
                <w:rFonts w:cs="Arial"/>
              </w:rPr>
              <w:t xml:space="preserve">3</w:t>
            </w:r>
          </w:p>
        </w:tc>
        <w:tc>
          <w:tcPr>
            <w:tcW w:w="1247" w:type="dxa"/>
            <w:tcBorders>
              <w:top w:val="single" w:sz="4" w:space="0" w:color="000000"/>
              <w:left w:val="single" w:sz="4" w:space="0" w:color="000000"/>
              <w:bottom w:val="single" w:sz="4" w:space="0" w:color="000000"/>
              <w:right w:val="single" w:sz="4" w:space="0" w:color="000000"/>
            </w:tcBorders>
            <w:vAlign w:val="center"/>
          </w:tcPr>
          <w:p w14:paraId="2D7CE467" w14:textId="2EDFCAFE"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IMPR-4103</w:t>
            </w:r>
          </w:p>
        </w:tc>
        <w:tc>
          <w:tcPr>
            <w:tcW w:w="425" w:type="dxa"/>
            <w:tcBorders>
              <w:top w:val="single" w:sz="4" w:space="0" w:color="000000"/>
              <w:left w:val="single" w:sz="4" w:space="0" w:color="000000"/>
              <w:bottom w:val="single" w:sz="4" w:space="0" w:color="000000"/>
              <w:right w:val="single" w:sz="4" w:space="0" w:color="000000"/>
            </w:tcBorders>
          </w:tcPr>
          <w:p w14:paraId="2B531B9C" w14:textId="590D59A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E57017F" w14:textId="010C89C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E12619" w14:textId="34E80F9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Introduction to Mineral Processing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0A7F796F" w14:textId="14906884" w:rsidR="00FF096D" w:rsidRPr="008B6C93" w:rsidRDefault="00FF096D" w:rsidP="00FF096D">
            <w:pPr>
              <w:rPr>
                <w:rFonts w:cs="Arial"/>
              </w:rPr>
              <w:jc w:val="both"/>
            </w:pPr>
            <w:r>
              <w:rPr>
                <w:rFonts w:cs="Arial"/>
              </w:rPr>
              <w:t xml:space="preserve">Explain mineral-processing stages in relation to ore properties, and conduct representative inert-material sampling after demonstrated safety readiness, calculating basic sample and recovery measures and justifying permitted corrections to sampling bias.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623D76" w14:textId="60AF464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CC329" w14:textId="3F27F2E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2638004B" w14:textId="7A9E4AF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4D701596" w14:textId="3FD8402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5FF8FB40" w14:textId="6658196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6DCBA555" w14:textId="2EE5F0F9"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29AFA" w14:textId="1E782CB7" w:rsidR="00FF096D" w:rsidRPr="008B6C93" w:rsidRDefault="00FF096D" w:rsidP="00FF096D">
            <w:pPr>
              <w:contextualSpacing/>
              <w:rPr>
                <w:rFonts w:cs="Arial"/>
              </w:rPr>
              <w:jc w:val="both"/>
            </w:pPr>
            <w:r>
              <w:rPr>
                <w:rFonts w:cs="Arial"/>
              </w:rPr>
              <w:t xml:space="preserve">Mineral processing</w:t>
            </w:r>
          </w:p>
        </w:tc>
      </w:tr>
      <w:tr w:rsidR="00FF096D" w:rsidRPr="008B6C93" w14:paraId="45697BA2"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E0C423D" w14:textId="77777777" w:rsidR="00FF096D" w:rsidRPr="008B6C93" w:rsidRDefault="00FF096D" w:rsidP="00FF096D">
            <w:pPr>
              <w:numPr>
                <w:ilvl w:val="0"/>
                <w:numId w:val="16"/>
              </w:numPr>
              <w:contextualSpacing/>
              <w:rPr>
                <w:rFonts w:cs="Arial"/>
              </w:rPr>
              <w:spacing w:after="0" w:line="240" w:lineRule="auto"/>
            </w:pPr>
            <w:r>
              <w:rPr>
                <w:rFonts w:cs="Arial"/>
              </w:rPr>
              <w:t xml:space="preserve">4</w:t>
            </w:r>
          </w:p>
        </w:tc>
        <w:tc>
          <w:tcPr>
            <w:tcW w:w="1247" w:type="dxa"/>
            <w:tcBorders>
              <w:top w:val="single" w:sz="4" w:space="0" w:color="000000"/>
              <w:left w:val="single" w:sz="4" w:space="0" w:color="000000"/>
              <w:bottom w:val="single" w:sz="4" w:space="0" w:color="000000"/>
              <w:right w:val="single" w:sz="4" w:space="0" w:color="000000"/>
            </w:tcBorders>
            <w:vAlign w:val="center"/>
          </w:tcPr>
          <w:p w14:paraId="3756264E" w14:textId="5A7B37E1"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SEPM-4104</w:t>
            </w:r>
          </w:p>
        </w:tc>
        <w:tc>
          <w:tcPr>
            <w:tcW w:w="425" w:type="dxa"/>
            <w:tcBorders>
              <w:top w:val="single" w:sz="4" w:space="0" w:color="000000"/>
              <w:left w:val="single" w:sz="4" w:space="0" w:color="000000"/>
              <w:bottom w:val="single" w:sz="4" w:space="0" w:color="000000"/>
              <w:right w:val="single" w:sz="4" w:space="0" w:color="000000"/>
            </w:tcBorders>
          </w:tcPr>
          <w:p w14:paraId="7F0859D2" w14:textId="3C50692E"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7E6AC52C" w14:textId="19967698"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B1ACC" w14:textId="45A9F89B"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Safety and Environmental Practices in Mineral Processing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67E00103" w14:textId="244F8DE0" w:rsidR="00FF096D" w:rsidRPr="008B6C93" w:rsidRDefault="00FF096D" w:rsidP="00FF096D">
            <w:pPr>
              <w:rPr>
                <w:rFonts w:cs="Arial"/>
              </w:rPr>
              <w:jc w:val="both"/>
            </w:pPr>
            <w:r>
              <w:rPr>
                <w:rFonts w:cs="Arial"/>
              </w:rPr>
              <w:t xml:space="preserve">Identify processing hazards and apply approved controls, stop-work and reporting procedures in controlled scenarios, demonstrating isolation awareness and calculating and recording material, water and waste quantities for environmental checks.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93C86D" w14:textId="25AF487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CCC80" w14:textId="507BC96F"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1DBE083E" w14:textId="37EB76C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1E4EFFC7" w14:textId="6622BF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57B7332F" w14:textId="5CD2B49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2A336D43" w14:textId="515140E7"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1F37F5B" w14:textId="03582E51" w:rsidR="00FF096D" w:rsidRPr="008B6C93" w:rsidRDefault="00FF096D" w:rsidP="00FF096D">
            <w:pPr>
              <w:contextualSpacing/>
              <w:rPr>
                <w:rFonts w:cs="Arial"/>
              </w:rPr>
              <w:jc w:val="both"/>
            </w:pPr>
            <w:r>
              <w:rPr>
                <w:rFonts w:cs="Arial"/>
              </w:rPr>
              <w:t xml:space="preserve">Mineral processing</w:t>
            </w:r>
          </w:p>
        </w:tc>
      </w:tr>
      <w:tr w:rsidR="00FF096D" w:rsidRPr="008B6C93" w14:paraId="4A92823B"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AB8CAD1" w14:textId="77777777" w:rsidR="00FF096D" w:rsidRPr="008B6C93" w:rsidRDefault="00FF096D" w:rsidP="00FF096D">
            <w:pPr>
              <w:numPr>
                <w:ilvl w:val="0"/>
                <w:numId w:val="16"/>
              </w:numPr>
              <w:contextualSpacing/>
              <w:rPr>
                <w:rFonts w:cs="Arial"/>
              </w:rPr>
              <w:spacing w:after="0" w:line="240" w:lineRule="auto"/>
            </w:pPr>
            <w:r>
              <w:rPr>
                <w:rFonts w:cs="Arial"/>
              </w:rPr>
              <w:t xml:space="preserve">5</w:t>
            </w:r>
          </w:p>
        </w:tc>
        <w:tc>
          <w:tcPr>
            <w:tcW w:w="1247" w:type="dxa"/>
            <w:tcBorders>
              <w:top w:val="single" w:sz="4" w:space="0" w:color="000000"/>
              <w:left w:val="single" w:sz="4" w:space="0" w:color="000000"/>
              <w:bottom w:val="single" w:sz="4" w:space="0" w:color="000000"/>
              <w:right w:val="single" w:sz="4" w:space="0" w:color="000000"/>
            </w:tcBorders>
            <w:vAlign w:val="center"/>
          </w:tcPr>
          <w:p w14:paraId="1E49B362" w14:textId="441BA920"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SRC-4205</w:t>
            </w:r>
          </w:p>
        </w:tc>
        <w:tc>
          <w:tcPr>
            <w:tcW w:w="425" w:type="dxa"/>
            <w:tcBorders>
              <w:top w:val="single" w:sz="4" w:space="0" w:color="000000"/>
              <w:left w:val="single" w:sz="4" w:space="0" w:color="000000"/>
              <w:bottom w:val="single" w:sz="4" w:space="0" w:color="000000"/>
              <w:right w:val="single" w:sz="4" w:space="0" w:color="000000"/>
            </w:tcBorders>
          </w:tcPr>
          <w:p w14:paraId="0C736908"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429114C0"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D5D01B" w14:textId="24B31E5D" w:rsidR="00FF096D" w:rsidRPr="008B6C93" w:rsidRDefault="00FF096D" w:rsidP="00FF096D">
            <w:pPr>
              <w:pStyle w:val="BodyA"/>
              <w:contextualSpacing/>
              <w:rPr>
                <w:rFonts w:ascii="Arial" w:eastAsia="Arial" w:hAnsi="Arial" w:cs="Arial"/>
                <w:sz w:val="22"/>
                <w:szCs w:val="22"/>
              </w:rPr>
              <w:jc w:val="both"/>
              <w:spacing w:after="0" w:line="240" w:lineRule="auto"/>
            </w:pPr>
            <w:r>
              <w:rPr>
                <w:rFonts w:ascii="Arial" w:eastAsia="Arial" w:hAnsi="Arial" w:cs="Arial"/>
                <w:sz w:val="22"/>
                <w:szCs w:val="22"/>
              </w:rPr>
              <w:t xml:space="preserve">Size Reduction and Classification</w:t>
            </w:r>
          </w:p>
        </w:tc>
        <w:tc>
          <w:tcPr>
            <w:tcW w:w="3260" w:type="dxa"/>
            <w:tcBorders>
              <w:top w:val="single" w:sz="4" w:space="0" w:color="000000"/>
              <w:left w:val="single" w:sz="4" w:space="0" w:color="000000"/>
              <w:bottom w:val="single" w:sz="4" w:space="0" w:color="000000"/>
              <w:right w:val="single" w:sz="4" w:space="0" w:color="000000"/>
            </w:tcBorders>
            <w:vAlign w:val="center"/>
          </w:tcPr>
          <w:p w14:paraId="6F9D8B26" w14:textId="4A1BB770" w:rsidR="00FF096D" w:rsidRPr="008B6C93" w:rsidRDefault="00FF096D" w:rsidP="00FF096D">
            <w:pPr>
              <w:rPr>
                <w:rFonts w:cs="Arial"/>
              </w:rPr>
              <w:jc w:val="both"/>
            </w:pPr>
            <w:r>
              <w:rPr>
                <w:rFonts w:cs="Arial"/>
              </w:rPr>
              <w:t xml:space="preserve">Explain size-reduction and classification stages, interpret throughput and particle-size data against supplied operating limits, and select approved simulated responses to routine blockages and size-control deviations.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F02DDD" w14:textId="5F376BE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1C30E7" w14:textId="6C337A0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7A8D01E7" w14:textId="0DDE053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0E8F0204" w14:textId="5E0F46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IMPR-4103</w:t>
            </w:r>
          </w:p>
        </w:tc>
        <w:tc>
          <w:tcPr>
            <w:tcW w:w="567" w:type="dxa"/>
            <w:tcBorders>
              <w:top w:val="single" w:sz="4" w:space="0" w:color="000000"/>
              <w:left w:val="single" w:sz="4" w:space="0" w:color="000000"/>
              <w:bottom w:val="single" w:sz="4" w:space="0" w:color="000000"/>
              <w:right w:val="single" w:sz="4" w:space="0" w:color="000000"/>
            </w:tcBorders>
            <w:vAlign w:val="center"/>
          </w:tcPr>
          <w:p w14:paraId="1F4D1A1D" w14:textId="1A68007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c>
          <w:tcPr>
            <w:tcW w:w="1870" w:type="dxa"/>
            <w:tcBorders>
              <w:top w:val="single" w:sz="4" w:space="0" w:color="000000"/>
              <w:left w:val="single" w:sz="4" w:space="0" w:color="000000"/>
              <w:bottom w:val="single" w:sz="4" w:space="0" w:color="000000"/>
              <w:right w:val="single" w:sz="4" w:space="0" w:color="000000"/>
            </w:tcBorders>
            <w:vAlign w:val="center"/>
          </w:tcPr>
          <w:p w14:paraId="6BEF8906" w14:textId="37F8582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5F6897C0" w14:textId="68F597FD" w:rsidR="00FF096D" w:rsidRPr="008B6C93" w:rsidRDefault="00FF096D" w:rsidP="00FF096D">
            <w:pPr>
              <w:contextualSpacing/>
              <w:rPr>
                <w:rFonts w:cs="Arial"/>
              </w:rPr>
              <w:jc w:val="both"/>
            </w:pPr>
            <w:r>
              <w:rPr>
                <w:rFonts w:cs="Arial"/>
              </w:rPr>
              <w:t xml:space="preserve">Mineral processing</w:t>
            </w:r>
          </w:p>
        </w:tc>
      </w:tr>
      <w:tr w:rsidR="00FF096D" w:rsidRPr="008B6C93" w14:paraId="6F815FB6"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719AF755" w14:textId="77777777" w:rsidR="00FF096D" w:rsidRPr="008B6C93" w:rsidRDefault="00FF096D" w:rsidP="00FF096D">
            <w:pPr>
              <w:numPr>
                <w:ilvl w:val="0"/>
                <w:numId w:val="16"/>
              </w:numPr>
              <w:contextualSpacing/>
              <w:rPr>
                <w:rFonts w:cs="Arial"/>
              </w:rPr>
              <w:spacing w:after="0" w:line="240" w:lineRule="auto"/>
            </w:pPr>
            <w:r>
              <w:rPr>
                <w:rFonts w:cs="Arial"/>
              </w:rPr>
              <w:t xml:space="preserve">6</w:t>
            </w:r>
          </w:p>
        </w:tc>
        <w:tc>
          <w:tcPr>
            <w:tcW w:w="1247" w:type="dxa"/>
            <w:tcBorders>
              <w:top w:val="single" w:sz="4" w:space="0" w:color="000000"/>
              <w:left w:val="single" w:sz="4" w:space="0" w:color="000000"/>
              <w:bottom w:val="single" w:sz="4" w:space="0" w:color="000000"/>
              <w:right w:val="single" w:sz="4" w:space="0" w:color="000000"/>
            </w:tcBorders>
            <w:vAlign w:val="center"/>
          </w:tcPr>
          <w:p w14:paraId="610F7947" w14:textId="74340A29"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MSR-4206</w:t>
            </w:r>
          </w:p>
        </w:tc>
        <w:tc>
          <w:tcPr>
            <w:tcW w:w="425" w:type="dxa"/>
            <w:tcBorders>
              <w:top w:val="single" w:sz="4" w:space="0" w:color="000000"/>
              <w:left w:val="single" w:sz="4" w:space="0" w:color="000000"/>
              <w:bottom w:val="single" w:sz="4" w:space="0" w:color="000000"/>
              <w:right w:val="single" w:sz="4" w:space="0" w:color="000000"/>
            </w:tcBorders>
          </w:tcPr>
          <w:p w14:paraId="29AC8D4F" w14:textId="5E0EADE3"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5BB5D47B" w14:textId="2E21B44D"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A56925" w14:textId="06A09747" w:rsidR="00FF096D" w:rsidRPr="008B6C93" w:rsidRDefault="00FF096D" w:rsidP="00FF096D">
            <w:pPr>
              <w:contextualSpacing/>
              <w:rPr>
                <w:rFonts w:cs="Arial"/>
              </w:rPr>
            </w:pPr>
            <w:r>
              <w:rPr>
                <w:rFonts w:cs="Arial"/>
              </w:rPr>
              <w:t xml:space="preserve">Mineral Separation and Recovery</w:t>
            </w:r>
          </w:p>
        </w:tc>
        <w:tc>
          <w:tcPr>
            <w:tcW w:w="3260" w:type="dxa"/>
            <w:tcBorders>
              <w:top w:val="single" w:sz="4" w:space="0" w:color="000000"/>
              <w:left w:val="single" w:sz="4" w:space="0" w:color="000000"/>
              <w:bottom w:val="single" w:sz="4" w:space="0" w:color="000000"/>
              <w:right w:val="single" w:sz="4" w:space="0" w:color="000000"/>
            </w:tcBorders>
            <w:vAlign w:val="center"/>
          </w:tcPr>
          <w:p w14:paraId="09BF90F4" w14:textId="0B3025D0" w:rsidR="00FF096D" w:rsidRPr="008B6C93" w:rsidRDefault="00FF096D" w:rsidP="00FF096D">
            <w:pPr>
              <w:rPr>
                <w:rFonts w:cs="Arial"/>
              </w:rPr>
              <w:jc w:val="both"/>
            </w:pPr>
            <w:r>
              <w:rPr>
                <w:rFonts w:cs="Arial"/>
              </w:rPr>
              <w:t xml:space="preserve">Compare separation principles against supplied material characteristics, complete a safe approved bench-scale or simulated separation sequence, and calculate recovery and product-quality measures to explain departures from targets.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89252" w14:textId="197BB7C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8217AC" w14:textId="3A45ECC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29D3110E" w14:textId="2798D9C5"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21420B52" w14:textId="0B03FC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IMPR-4103</w:t>
            </w:r>
          </w:p>
        </w:tc>
        <w:tc>
          <w:tcPr>
            <w:tcW w:w="567" w:type="dxa"/>
            <w:tcBorders>
              <w:top w:val="single" w:sz="4" w:space="0" w:color="000000"/>
              <w:left w:val="single" w:sz="4" w:space="0" w:color="000000"/>
              <w:bottom w:val="single" w:sz="4" w:space="0" w:color="000000"/>
              <w:right w:val="single" w:sz="4" w:space="0" w:color="000000"/>
            </w:tcBorders>
            <w:vAlign w:val="center"/>
          </w:tcPr>
          <w:p w14:paraId="7DB91C55" w14:textId="22E5D0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4180D706" w14:textId="11FE27EA"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06C5DB79" w14:textId="30D4B873" w:rsidR="00FF096D" w:rsidRPr="008B6C93" w:rsidRDefault="00FF096D" w:rsidP="00FF096D">
            <w:pPr>
              <w:contextualSpacing/>
              <w:rPr>
                <w:rFonts w:cs="Arial"/>
              </w:rPr>
              <w:jc w:val="both"/>
            </w:pPr>
            <w:r>
              <w:rPr>
                <w:rFonts w:cs="Arial"/>
              </w:rPr>
              <w:t xml:space="preserve">Mineral processing</w:t>
            </w:r>
          </w:p>
        </w:tc>
      </w:tr>
      <w:bookmarkEnd w:id="0"/>
      <w:tr w:rsidR="00FF096D" w:rsidRPr="008B6C93" w14:paraId="24ACFAE1" w14:textId="77777777" w:rsidTr="00273FD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5141B025" w14:textId="77777777" w:rsidR="00FF096D" w:rsidRPr="008B6C93" w:rsidRDefault="00FF096D" w:rsidP="00FF096D">
            <w:pPr>
              <w:numPr>
                <w:ilvl w:val="0"/>
                <w:numId w:val="16"/>
              </w:numPr>
              <w:contextualSpacing/>
              <w:rPr>
                <w:rFonts w:cs="Arial"/>
              </w:rPr>
              <w:spacing w:after="0" w:line="240" w:lineRule="auto"/>
            </w:pPr>
            <w:r>
              <w:rPr>
                <w:rFonts w:cs="Arial"/>
              </w:rPr>
              <w:t xml:space="preserve">7</w:t>
            </w:r>
          </w:p>
        </w:tc>
        <w:tc>
          <w:tcPr>
            <w:tcW w:w="1247" w:type="dxa"/>
            <w:tcBorders>
              <w:top w:val="single" w:sz="4" w:space="0" w:color="000000"/>
              <w:left w:val="single" w:sz="4" w:space="0" w:color="000000"/>
              <w:bottom w:val="single" w:sz="4" w:space="0" w:color="000000"/>
              <w:right w:val="single" w:sz="4" w:space="0" w:color="000000"/>
            </w:tcBorders>
            <w:vAlign w:val="center"/>
          </w:tcPr>
          <w:p w14:paraId="600F4BFD" w14:textId="0B76C96C"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PMRA-4207</w:t>
            </w:r>
          </w:p>
        </w:tc>
        <w:tc>
          <w:tcPr>
            <w:tcW w:w="425" w:type="dxa"/>
            <w:tcBorders>
              <w:top w:val="single" w:sz="4" w:space="0" w:color="000000"/>
              <w:left w:val="single" w:sz="4" w:space="0" w:color="000000"/>
              <w:bottom w:val="single" w:sz="4" w:space="0" w:color="000000"/>
              <w:right w:val="single" w:sz="4" w:space="0" w:color="000000"/>
            </w:tcBorders>
          </w:tcPr>
          <w:p w14:paraId="45E30CDD" w14:textId="77777777"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32715FF7" w14:textId="77777777"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7B4CDD" w14:textId="59D828D4" w:rsidR="00FF096D" w:rsidRPr="008B6C93" w:rsidRDefault="00FF096D" w:rsidP="00FF096D">
            <w:pPr>
              <w:contextualSpacing/>
              <w:rPr>
                <w:rFonts w:eastAsia="Arial" w:cs="Arial"/>
              </w:rPr>
            </w:pPr>
            <w:r>
              <w:rPr>
                <w:rFonts w:eastAsia="Arial" w:cs="Arial"/>
              </w:rPr>
              <w:t xml:space="preserve">Process Monitoring and Routine Asset Care</w:t>
            </w:r>
          </w:p>
        </w:tc>
        <w:tc>
          <w:tcPr>
            <w:tcW w:w="3260" w:type="dxa"/>
            <w:tcBorders>
              <w:top w:val="single" w:sz="4" w:space="0" w:color="000000"/>
              <w:left w:val="single" w:sz="4" w:space="0" w:color="000000"/>
              <w:bottom w:val="single" w:sz="4" w:space="0" w:color="000000"/>
              <w:right w:val="single" w:sz="4" w:space="0" w:color="000000"/>
            </w:tcBorders>
            <w:vAlign w:val="center"/>
          </w:tcPr>
          <w:p w14:paraId="0F4094BA" w14:textId="6AEBD02D" w:rsidR="00FF096D" w:rsidRPr="008B6C93" w:rsidRDefault="00FF096D" w:rsidP="00FF096D">
            <w:pPr>
              <w:rPr>
                <w:rFonts w:cs="Arial"/>
              </w:rPr>
              <w:jc w:val="both"/>
            </w:pPr>
            <w:r>
              <w:rPr>
                <w:rFonts w:cs="Arial"/>
              </w:rPr>
              <w:t xml:space="preserve">Interpret process indicators against approved ranges, complete permitted non-invasive routine asset-care checks, and prepare shift records that prioritise defects and abnormal conditions for reporting.</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966043" w14:textId="2DE727B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7C921" w14:textId="17EC8150"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46EBA1D9" w14:textId="6729930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58ACD7C6" w14:textId="330CA104"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SEPM-4104</w:t>
            </w:r>
          </w:p>
        </w:tc>
        <w:tc>
          <w:tcPr>
            <w:tcW w:w="567" w:type="dxa"/>
            <w:tcBorders>
              <w:top w:val="single" w:sz="4" w:space="0" w:color="000000"/>
              <w:left w:val="single" w:sz="4" w:space="0" w:color="000000"/>
              <w:bottom w:val="single" w:sz="4" w:space="0" w:color="000000"/>
              <w:right w:val="single" w:sz="4" w:space="0" w:color="000000"/>
            </w:tcBorders>
            <w:vAlign w:val="center"/>
          </w:tcPr>
          <w:p w14:paraId="79DEADE1" w14:textId="657257D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6EC1809B" w14:textId="56D3010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06F9B7E" w14:textId="6BB4F110" w:rsidR="00FF096D" w:rsidRPr="008B6C93" w:rsidRDefault="00FF096D" w:rsidP="00FF096D">
            <w:pPr>
              <w:contextualSpacing/>
              <w:rPr>
                <w:rFonts w:cs="Arial"/>
              </w:rPr>
              <w:jc w:val="both"/>
            </w:pPr>
            <w:r>
              <w:rPr>
                <w:rFonts w:cs="Arial"/>
              </w:rPr>
              <w:t xml:space="preserve">Mineral processing</w:t>
            </w:r>
          </w:p>
        </w:tc>
      </w:tr>
      <w:tr w:rsidR="00FF096D" w:rsidRPr="008B6C93" w14:paraId="45FF8232"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1B2155DE" w14:textId="77777777" w:rsidR="00FF096D" w:rsidRPr="008B6C93" w:rsidRDefault="00FF096D" w:rsidP="00FF096D">
            <w:pPr>
              <w:numPr>
                <w:ilvl w:val="0"/>
                <w:numId w:val="16"/>
              </w:numPr>
              <w:contextualSpacing/>
              <w:rPr>
                <w:rFonts w:cs="Arial"/>
              </w:rPr>
              <w:spacing w:after="0" w:line="240" w:lineRule="auto"/>
            </w:pPr>
            <w:r>
              <w:rPr>
                <w:rFonts w:cs="Arial"/>
              </w:rPr>
              <w:t xml:space="preserve">8</w:t>
            </w:r>
          </w:p>
        </w:tc>
        <w:tc>
          <w:tcPr>
            <w:tcW w:w="1247" w:type="dxa"/>
            <w:tcBorders>
              <w:top w:val="single" w:sz="4" w:space="0" w:color="000000"/>
              <w:left w:val="single" w:sz="4" w:space="0" w:color="000000"/>
              <w:bottom w:val="single" w:sz="4" w:space="0" w:color="000000"/>
              <w:right w:val="single" w:sz="4" w:space="0" w:color="000000"/>
            </w:tcBorders>
            <w:vAlign w:val="center"/>
          </w:tcPr>
          <w:p w14:paraId="68E7EE1A" w14:textId="6719F7BE"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IMPO-4208</w:t>
            </w:r>
          </w:p>
        </w:tc>
        <w:tc>
          <w:tcPr>
            <w:tcW w:w="425" w:type="dxa"/>
            <w:tcBorders>
              <w:top w:val="single" w:sz="4" w:space="0" w:color="000000"/>
              <w:left w:val="single" w:sz="4" w:space="0" w:color="000000"/>
              <w:bottom w:val="single" w:sz="4" w:space="0" w:color="000000"/>
              <w:right w:val="single" w:sz="4" w:space="0" w:color="000000"/>
            </w:tcBorders>
          </w:tcPr>
          <w:p w14:paraId="24A64E16" w14:textId="0D2D1396"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1B0E7863" w14:textId="567CCF64"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D3201" w14:textId="54A32308" w:rsidR="00FF096D" w:rsidRPr="008B6C93" w:rsidRDefault="00FF096D" w:rsidP="00FF096D">
            <w:pPr>
              <w:contextualSpacing/>
              <w:rPr>
                <w:rFonts w:eastAsia="Arial" w:cs="Arial"/>
              </w:rPr>
            </w:pPr>
            <w:r>
              <w:rPr>
                <w:rFonts w:eastAsia="Arial" w:cs="Arial"/>
              </w:rPr>
              <w:t xml:space="preserve">Integrated Mineral Processing Operations Simulation</w:t>
            </w:r>
          </w:p>
        </w:tc>
        <w:tc>
          <w:tcPr>
            <w:tcW w:w="3260" w:type="dxa"/>
            <w:tcBorders>
              <w:top w:val="single" w:sz="4" w:space="0" w:color="000000"/>
              <w:left w:val="single" w:sz="4" w:space="0" w:color="000000"/>
              <w:bottom w:val="single" w:sz="4" w:space="0" w:color="000000"/>
              <w:right w:val="single" w:sz="4" w:space="0" w:color="000000"/>
            </w:tcBorders>
            <w:vAlign w:val="center"/>
          </w:tcPr>
          <w:p w14:paraId="01E40125" w14:textId="176F947B" w:rsidR="00FF096D" w:rsidRPr="008B6C93" w:rsidRDefault="00FF096D" w:rsidP="00FF096D">
            <w:pPr>
              <w:rPr>
                <w:rFonts w:cs="Arial"/>
              </w:rPr>
              <w:jc w:val="both"/>
            </w:pPr>
            <w:r>
              <w:rPr>
                <w:rFonts w:cs="Arial"/>
              </w:rPr>
              <w:t xml:space="preserve">Plan and coordinate a bounded simulated processing shift with agreed roles and environmental controls, interpret sampling and operating evidence to resolve routine and selected unfamiliar deviations within authority limits, and defend a report evaluating personal and team performance against targets.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CA56F" w14:textId="40F98F5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33679F" w14:textId="40FDC23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4A1B1681" w14:textId="6211AE1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0C3B213E" w14:textId="0689F80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SEPM-4104</w:t>
            </w:r>
          </w:p>
        </w:tc>
        <w:tc>
          <w:tcPr>
            <w:tcW w:w="567" w:type="dxa"/>
            <w:tcBorders>
              <w:top w:val="single" w:sz="4" w:space="0" w:color="000000"/>
              <w:left w:val="single" w:sz="4" w:space="0" w:color="000000"/>
              <w:bottom w:val="single" w:sz="4" w:space="0" w:color="000000"/>
              <w:right w:val="single" w:sz="4" w:space="0" w:color="000000"/>
            </w:tcBorders>
            <w:vAlign w:val="center"/>
          </w:tcPr>
          <w:p w14:paraId="5376FAD9" w14:textId="6EA025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168240EF" w14:textId="0F7B627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E01CC18" w14:textId="50EEB261" w:rsidR="00FF096D" w:rsidRPr="008B6C93" w:rsidRDefault="00FF096D" w:rsidP="00FF096D">
            <w:pPr>
              <w:contextualSpacing/>
              <w:rPr>
                <w:rFonts w:cs="Arial"/>
              </w:rPr>
              <w:jc w:val="both"/>
            </w:pPr>
            <w:r>
              <w:rPr>
                <w:rFonts w:cs="Arial"/>
              </w:rPr>
              <w:t xml:space="preserve">Mineral processing</w:t>
            </w:r>
          </w:p>
        </w:tc>
      </w:tr>
    </w:tbl>
    <w:p w14:paraId="5E53A1A1" w14:textId="77777777" w:rsidR="00FF096D" w:rsidRPr="008B6C93" w:rsidRDefault="00FF096D">
      <w:pPr>
        <w:rPr>
          <w:rFonts w:cs="Arial"/>
        </w:rPr>
        <w:sectPr w:rsidR="00FF096D" w:rsidRPr="008B6C93">
          <w:pgSz w:w="16838" w:h="11906" w:orient="landscape"/>
          <w:pgMar w:top="850" w:right="907" w:bottom="850" w:left="907" w:header="397" w:footer="397" w:gutter="0"/>
          <w:cols w:space="720"/>
          <w:docGrid w:linePitch="360"/>
        </w:sectPr>
      </w:pPr>
    </w:p>
    <w:p w14:paraId="79BA7FBD" w14:textId="77777777" w:rsidR="00484777" w:rsidRPr="008B6C93" w:rsidRDefault="00484777">
      <w:pPr>
        <w:rPr>
          <w:rFonts w:cs="Arial"/>
        </w:rPr>
      </w:pPr>
    </w:p>
    <w:p w14:paraId="61A0489C" w14:textId="6E27D45E" w:rsidR="00FF096D" w:rsidRPr="008B6C93" w:rsidRDefault="00FF096D">
      <w:pPr>
        <w:rPr>
          <w:rFonts w:cs="Arial"/>
          <w:b/>
          <w:bCs/>
        </w:rPr>
        <w:keepNext/>
      </w:pPr>
      <w:r w:rsidRPr="008B6C93">
        <w:rPr>
          <w:rFonts w:cs="Arial"/>
          <w:b/>
          <w:bCs/>
        </w:rPr>
        <w:t>Detailed</w:t>
      </w:r>
      <w:r w:rsidR="00594976" w:rsidRPr="008B6C93">
        <w:rPr>
          <w:rFonts w:cs="Arial"/>
          <w:b/>
          <w:bCs/>
        </w:rPr>
        <w:t xml:space="preserve"> Outcomes of Learning </w:t>
      </w:r>
    </w:p>
    <w:tbl>
      <w:tblPr>
        <w:tblLook w:val="0000" w:firstRow="0" w:lastRow="0" w:firstColumn="0" w:lastColumn="0" w:noHBand="0" w:noVBand="0"/>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993"/>
        <w:gridCol w:w="1842"/>
        <w:gridCol w:w="4111"/>
        <w:gridCol w:w="1276"/>
        <w:gridCol w:w="850"/>
        <w:gridCol w:w="992"/>
      </w:tblGrid>
      <w:tr w:rsidR="00374014" w:rsidRPr="008B6C93" w14:paraId="3C18A14A" w14:textId="0FD14FEE" w:rsidTr="00374014">
        <w:trPr>
          <w:cantSplit/>
          <w:trHeight w:val="1134"/>
          <w:tblHeader/>
        </w:trPr>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5D0E66DB"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Code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C8CC5C4"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Course Title </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14:paraId="0F8B9A64" w14:textId="77777777" w:rsidR="00374014" w:rsidRPr="008B6C93" w:rsidRDefault="00374014" w:rsidP="008862B1">
            <w:pPr>
              <w:contextualSpacing/>
              <w:rPr>
                <w:rFonts w:cs="Arial"/>
                <w:b/>
                <w:bCs/>
              </w:rPr>
              <w:keepNext/>
              <w:jc w:val="center"/>
            </w:pPr>
            <w:r w:rsidRPr="008B6C93">
              <w:rPr>
                <w:rFonts w:cs="Arial"/>
                <w:b/>
                <w:bCs/>
              </w:rPr>
              <w:t>Outcomes of Learning</w:t>
            </w:r>
          </w:p>
          <w:p w14:paraId="79AEABEA" w14:textId="77777777" w:rsidR="00374014" w:rsidRPr="008B6C93" w:rsidRDefault="00374014" w:rsidP="008862B1">
            <w:pPr>
              <w:contextualSpacing/>
              <w:rPr>
                <w:rFonts w:cs="Arial"/>
                <w:i/>
                <w:iCs/>
              </w:rPr>
              <w:keepNext/>
              <w:jc w:val="center"/>
            </w:pPr>
            <w:r w:rsidRPr="008B6C93">
              <w:rPr>
                <w:rFonts w:cs="Arial"/>
                <w:i/>
                <w:iCs/>
              </w:rPr>
              <w:t>Upon completing the course, students will be able to: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063C0D" w14:textId="77777777" w:rsidR="00374014" w:rsidRPr="008B6C93" w:rsidRDefault="00374014" w:rsidP="008862B1">
            <w:pPr>
              <w:contextualSpacing/>
              <w:rPr>
                <w:rFonts w:cs="Arial"/>
                <w:b/>
                <w:bCs/>
              </w:rPr>
              <w:keepNext/>
            </w:pPr>
            <w:r w:rsidRPr="008B6C93">
              <w:rPr>
                <w:rFonts w:cs="Arial"/>
                <w:b/>
                <w:bCs/>
              </w:rPr>
              <w:t>Pre-</w:t>
            </w:r>
          </w:p>
          <w:p w14:paraId="333A84EE" w14:textId="77777777" w:rsidR="00374014" w:rsidRPr="008B6C93" w:rsidRDefault="00374014" w:rsidP="008862B1">
            <w:pPr>
              <w:contextualSpacing/>
              <w:rPr>
                <w:rFonts w:eastAsia="Arial Unicode MS" w:cs="Arial"/>
                <w:b/>
                <w:bCs/>
                <w:u w:color="000000"/>
              </w:rPr>
              <w:keepNext/>
            </w:pPr>
            <w:r w:rsidRPr="008B6C93">
              <w:rPr>
                <w:rFonts w:cs="Arial"/>
                <w:b/>
                <w:bCs/>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70A7FDE"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D84696"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Credits</w:t>
            </w:r>
          </w:p>
        </w:tc>
      </w:tr>
      <w:tr w:rsidR="00374014" w:rsidRPr="008B6C93" w14:paraId="1C5A1B26" w14:textId="1020377F" w:rsidTr="00374014">
        <w:trPr>
          <w:trHeight w:val="207"/>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7F06196" w14:textId="426A189B" w:rsidR="00374014" w:rsidRPr="008B6C93" w:rsidRDefault="00374014" w:rsidP="00594976">
            <w:pPr>
              <w:contextualSpacing/>
              <w:rPr>
                <w:rFonts w:eastAsia="Arial Unicode MS" w:cs="Arial"/>
                <w:u w:color="000000"/>
              </w:rPr>
            </w:pPr>
            <w:r>
              <w:rPr>
                <w:rFonts w:eastAsia="Arial Unicode MS" w:cs="Arial"/>
                <w:u w:color="000000"/>
              </w:rPr>
              <w:t xml:space="preserve">COLT-4101</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DC78D4" w14:textId="00021A14" w:rsidR="00374014" w:rsidRPr="008B6C93" w:rsidRDefault="00374014" w:rsidP="00594976">
            <w:pPr>
              <w:contextualSpacing/>
              <w:rPr>
                <w:rFonts w:eastAsia="Arial Unicode MS" w:cs="Arial"/>
                <w:u w:color="000000"/>
              </w:rPr>
            </w:pPr>
            <w:r>
              <w:rPr>
                <w:rFonts w:eastAsia="Arial Unicode MS" w:cs="Arial"/>
                <w:u w:color="000000"/>
              </w:rPr>
              <w:t xml:space="preserve">Communication and Literacy</w:t>
            </w:r>
          </w:p>
        </w:tc>
        <w:tc>
          <w:tcPr>
            <w:tcW w:w="4111" w:type="dxa"/>
            <w:tcBorders>
              <w:top w:val="single" w:sz="4" w:space="0" w:color="000000"/>
              <w:left w:val="single" w:sz="4" w:space="0" w:color="000000"/>
              <w:bottom w:val="single" w:sz="4" w:space="0" w:color="000000"/>
              <w:right w:val="single" w:sz="4" w:space="0" w:color="000000"/>
            </w:tcBorders>
            <w:vAlign w:val="center"/>
          </w:tcPr>
          <w:p w14:paraId="26DE6C1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Analyse familiar and unfamiliar concrete workplace texts, resolve conflicting instructions through clarification and justify source reliability.</w:t>
            </w:r>
          </w:p>
          <w:p w14:paraId="0F93737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Produce audience-appropriate referenced reports, learning summaries and workplace correspondence using coherent evidence and appropriate register.</w:t>
            </w:r>
          </w:p>
          <w:p w14:paraId="41D37852" w14:textId="756FB4D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 reasoned response in discussion, answer questions and take responsibility for revising work after feedback.</w:t>
            </w:r>
          </w:p>
        </w:tc>
        <w:tc>
          <w:tcPr>
            <w:tcW w:w="1276" w:type="dxa"/>
            <w:tcBorders>
              <w:top w:val="single" w:sz="4" w:space="0" w:color="000000"/>
              <w:left w:val="single" w:sz="4" w:space="0" w:color="000000"/>
              <w:bottom w:val="single" w:sz="4" w:space="0" w:color="000000"/>
              <w:right w:val="single" w:sz="4" w:space="0" w:color="000000"/>
            </w:tcBorders>
            <w:vAlign w:val="center"/>
          </w:tcPr>
          <w:p w14:paraId="68BBC67E" w14:textId="7D36599C"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BAAE69" w14:textId="6DD5E3A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1B56E" w14:textId="7CA66257"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469C808D" w14:textId="27E5E49A"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D040A5" w14:textId="6BAF2C3B" w:rsidR="00374014" w:rsidRPr="008B6C93" w:rsidRDefault="00374014" w:rsidP="00594976">
            <w:pPr>
              <w:contextualSpacing/>
              <w:rPr>
                <w:rFonts w:eastAsia="Arial Unicode MS" w:cs="Arial"/>
                <w:u w:color="000000"/>
              </w:rPr>
            </w:pPr>
            <w:r>
              <w:rPr>
                <w:rFonts w:eastAsia="Arial Unicode MS" w:cs="Arial"/>
                <w:u w:color="000000"/>
              </w:rPr>
              <w:t xml:space="preserve">DSAI-4102</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4CCA7E" w14:textId="3A40D1C4" w:rsidR="00374014" w:rsidRPr="008B6C93" w:rsidRDefault="00374014" w:rsidP="00594976">
            <w:pPr>
              <w:contextualSpacing/>
              <w:rPr>
                <w:rFonts w:eastAsia="Arial Unicode MS" w:cs="Arial"/>
                <w:u w:color="000000"/>
              </w:rPr>
            </w:pPr>
            <w:r>
              <w:rPr>
                <w:rFonts w:eastAsia="Arial Unicode MS" w:cs="Arial"/>
                <w:u w:color="000000"/>
              </w:rPr>
              <w:t xml:space="preserve">Digital Skills and Artificial Intelligence</w:t>
            </w:r>
          </w:p>
        </w:tc>
        <w:tc>
          <w:tcPr>
            <w:tcW w:w="4111" w:type="dxa"/>
            <w:tcBorders>
              <w:top w:val="single" w:sz="4" w:space="0" w:color="000000"/>
              <w:left w:val="single" w:sz="4" w:space="0" w:color="000000"/>
              <w:bottom w:val="single" w:sz="4" w:space="0" w:color="000000"/>
              <w:right w:val="single" w:sz="4" w:space="0" w:color="000000"/>
            </w:tcBorders>
            <w:vAlign w:val="center"/>
          </w:tcPr>
          <w:p w14:paraId="4888BFE9"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and justify suitable digital tools to organise records, calculate simple spreadsheet results and communicate a concrete task response.</w:t>
            </w:r>
          </w:p>
          <w:p w14:paraId="1C1AE36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Generate and refine an introductory AI-assisted response to a bounded task with synthetic or non-confidential data, secure practices and appropriate privacy controls.</w:t>
            </w:r>
          </w:p>
          <w:p w14:paraId="3A5D3B2B" w14:textId="569CED6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Evaluate unfamiliar digital or AI-generated outputs against credible sources, correct errors and disclose assistance, uncertainty and limitations.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B3C687" w14:textId="5B9B4CBF"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3DDB7" w14:textId="1617950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DA9EB" w14:textId="21BDC75A"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061F9162" w14:textId="74EF510D"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3173101F" w14:textId="04190045" w:rsidR="00374014" w:rsidRPr="008B6C93" w:rsidRDefault="00374014" w:rsidP="00594976">
            <w:pPr>
              <w:contextualSpacing/>
              <w:rPr>
                <w:rFonts w:cs="Arial"/>
              </w:rPr>
            </w:pPr>
            <w:r>
              <w:rPr>
                <w:rFonts w:cs="Arial"/>
              </w:rPr>
              <w:t xml:space="preserve">IMPR-4103</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E3ED8" w14:textId="4E2C1C3A" w:rsidR="00374014" w:rsidRPr="008B6C93" w:rsidRDefault="00374014" w:rsidP="00594976">
            <w:pPr>
              <w:contextualSpacing/>
              <w:rPr>
                <w:rFonts w:cs="Arial"/>
              </w:rPr>
            </w:pPr>
            <w:r>
              <w:rPr>
                <w:rFonts w:cs="Arial"/>
              </w:rPr>
              <w:t xml:space="preserve">Introduction to Mineral Processing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01A9C3A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a basic mineral-processing flowsheet and relate observable ore and gangue properties to its main stages.</w:t>
            </w:r>
          </w:p>
          <w:p w14:paraId="1B9B385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Plan and carry out representative inert-material sampling after demonstrated safety readiness, calculating sample mass, size fractions and simple grade or recovery.</w:t>
            </w:r>
          </w:p>
          <w:p w14:paraId="3CFDA62E" w14:textId="3996195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likely sampling bias, justify a permitted correction and explain safety-readiness requirements before any practical activity.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D1803" w14:textId="6FDC117A"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F1B1B" w14:textId="089580F2"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FC9DB" w14:textId="6A806EB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2DAB2DB0" w14:textId="13FBE755"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5C159AA" w14:textId="1B048824" w:rsidR="00374014" w:rsidRPr="008B6C93" w:rsidRDefault="00374014" w:rsidP="00594976">
            <w:pPr>
              <w:contextualSpacing/>
              <w:rPr>
                <w:rFonts w:cs="Arial"/>
              </w:rPr>
            </w:pPr>
            <w:r>
              <w:rPr>
                <w:rFonts w:cs="Arial"/>
              </w:rPr>
              <w:t xml:space="preserve">SEPM-4104</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98621" w14:textId="17E78055" w:rsidR="00374014" w:rsidRPr="008B6C93" w:rsidRDefault="00374014" w:rsidP="00594976">
            <w:pPr>
              <w:contextualSpacing/>
              <w:rPr>
                <w:rFonts w:cs="Arial"/>
              </w:rPr>
            </w:pPr>
            <w:r>
              <w:rPr>
                <w:rFonts w:cs="Arial"/>
              </w:rPr>
              <w:t xml:space="preserve">Safety and Environmental Practices in Mineral Processing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3892A61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routine processing hazards and select controls from an approved hierarchy and procedure.</w:t>
            </w:r>
          </w:p>
          <w:p w14:paraId="2083F9C7"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Apply stop-work, incident-reporting and isolation-awareness steps in controlled scenarios.</w:t>
            </w:r>
          </w:p>
          <w:p w14:paraId="5DBB82BE" w14:textId="0746E3CF"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Calculate and record simple material, water and waste quantities for environmental-control checks.</w:t>
            </w:r>
          </w:p>
        </w:tc>
        <w:tc>
          <w:tcPr>
            <w:tcW w:w="1276" w:type="dxa"/>
            <w:tcBorders>
              <w:top w:val="single" w:sz="4" w:space="0" w:color="000000"/>
              <w:left w:val="single" w:sz="4" w:space="0" w:color="000000"/>
              <w:bottom w:val="single" w:sz="4" w:space="0" w:color="000000"/>
              <w:right w:val="single" w:sz="4" w:space="0" w:color="000000"/>
            </w:tcBorders>
            <w:vAlign w:val="center"/>
          </w:tcPr>
          <w:p w14:paraId="7D939C4B" w14:textId="68976A35"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DFF151" w14:textId="5C23980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984E0" w14:textId="5C8B231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1C63B1B5" w14:textId="3E739669"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646A8448" w14:textId="37A51B0F" w:rsidR="00374014" w:rsidRPr="008B6C93" w:rsidRDefault="00374014" w:rsidP="00594976">
            <w:pPr>
              <w:contextualSpacing/>
              <w:rPr>
                <w:rFonts w:cs="Arial"/>
              </w:rPr>
            </w:pPr>
            <w:r>
              <w:rPr>
                <w:rFonts w:cs="Arial"/>
              </w:rPr>
              <w:t xml:space="preserve">SRC-4205</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1BC55" w14:textId="540BF207" w:rsidR="00374014" w:rsidRPr="008B6C93" w:rsidRDefault="00374014" w:rsidP="00594976">
            <w:pPr>
              <w:contextualSpacing/>
              <w:rPr>
                <w:rFonts w:cs="Arial"/>
              </w:rPr>
            </w:pPr>
            <w:r>
              <w:rPr>
                <w:rFonts w:cs="Arial"/>
              </w:rPr>
              <w:t xml:space="preserve">Size Reduction and Classification</w:t>
            </w:r>
          </w:p>
        </w:tc>
        <w:tc>
          <w:tcPr>
            <w:tcW w:w="4111" w:type="dxa"/>
            <w:tcBorders>
              <w:top w:val="single" w:sz="4" w:space="0" w:color="000000"/>
              <w:left w:val="single" w:sz="4" w:space="0" w:color="000000"/>
              <w:bottom w:val="single" w:sz="4" w:space="0" w:color="000000"/>
              <w:right w:val="single" w:sz="4" w:space="0" w:color="000000"/>
            </w:tcBorders>
            <w:vAlign w:val="center"/>
          </w:tcPr>
          <w:p w14:paraId="439AFBA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Explain the purpose and sequence of crushing, grinding, screening and classification in a supplied flowsheet.</w:t>
            </w:r>
          </w:p>
          <w:p w14:paraId="583FE22C"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Interpret simple throughput, particle-size and classification data against given operating limits.</w:t>
            </w:r>
          </w:p>
          <w:p w14:paraId="71830495" w14:textId="25D497AA"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approved responses to routine blockages or size-control deviations in a simulation.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4A53C40F" w14:textId="13D25AE2" w:rsidR="00374014" w:rsidRPr="008B6C93" w:rsidRDefault="00374014" w:rsidP="00594976">
            <w:pPr>
              <w:contextualSpacing/>
              <w:rPr>
                <w:rFonts w:eastAsia="Arial Unicode MS" w:cs="Arial"/>
                <w:u w:color="000000"/>
              </w:rPr>
              <w:jc w:val="center"/>
            </w:pPr>
            <w:r>
              <w:rPr>
                <w:rFonts w:eastAsia="Arial Unicode MS" w:cs="Arial"/>
                <w:u w:color="000000"/>
              </w:rPr>
              <w:t xml:space="preserve">IMPR-4103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955DED" w14:textId="60CD5908"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104D9" w14:textId="40DD6C89"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3649A32D" w14:textId="7AC16142"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088EE17C" w14:textId="4205C00D" w:rsidR="00374014" w:rsidRPr="008B6C93" w:rsidRDefault="00374014" w:rsidP="00594976">
            <w:pPr>
              <w:contextualSpacing/>
              <w:rPr>
                <w:rFonts w:cs="Arial"/>
              </w:rPr>
            </w:pPr>
            <w:r>
              <w:rPr>
                <w:rFonts w:cs="Arial"/>
              </w:rPr>
              <w:t xml:space="preserve">MSR-4206</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CFCAE" w14:textId="71A5903B" w:rsidR="00374014" w:rsidRPr="008B6C93" w:rsidRDefault="00374014" w:rsidP="00594976">
            <w:pPr>
              <w:contextualSpacing/>
              <w:rPr>
                <w:rFonts w:cs="Arial"/>
              </w:rPr>
            </w:pPr>
            <w:r>
              <w:rPr>
                <w:rFonts w:cs="Arial"/>
              </w:rPr>
              <w:t xml:space="preserve">Mineral Separation and Recovery</w:t>
            </w:r>
          </w:p>
        </w:tc>
        <w:tc>
          <w:tcPr>
            <w:tcW w:w="4111" w:type="dxa"/>
            <w:tcBorders>
              <w:top w:val="single" w:sz="4" w:space="0" w:color="000000"/>
              <w:left w:val="single" w:sz="4" w:space="0" w:color="000000"/>
              <w:bottom w:val="single" w:sz="4" w:space="0" w:color="000000"/>
              <w:right w:val="single" w:sz="4" w:space="0" w:color="000000"/>
            </w:tcBorders>
            <w:vAlign w:val="center"/>
          </w:tcPr>
          <w:p w14:paraId="74C7445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Compare basic gravity, flotation and magnetic-separation principles using supplied material characteristics.</w:t>
            </w:r>
          </w:p>
          <w:p w14:paraId="28ECBC8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Follow a safe approved bench-scale or simulated separation sequence and record operating observations.</w:t>
            </w:r>
          </w:p>
          <w:p w14:paraId="2C26869D" w14:textId="7256957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Calculate simple recovery and product-quality measures and explain departures from supplied targets.</w:t>
            </w:r>
          </w:p>
        </w:tc>
        <w:tc>
          <w:tcPr>
            <w:tcW w:w="1276" w:type="dxa"/>
            <w:tcBorders>
              <w:top w:val="single" w:sz="4" w:space="0" w:color="000000"/>
              <w:left w:val="single" w:sz="4" w:space="0" w:color="000000"/>
              <w:bottom w:val="single" w:sz="4" w:space="0" w:color="000000"/>
              <w:right w:val="single" w:sz="4" w:space="0" w:color="000000"/>
            </w:tcBorders>
          </w:tcPr>
          <w:p w14:paraId="5D0701FC" w14:textId="07F54B99" w:rsidR="00374014" w:rsidRPr="008B6C93" w:rsidRDefault="00374014" w:rsidP="00594976">
            <w:pPr>
              <w:contextualSpacing/>
              <w:rPr>
                <w:rFonts w:eastAsia="Arial Unicode MS" w:cs="Arial"/>
                <w:u w:color="000000"/>
              </w:rPr>
              <w:jc w:val="center"/>
            </w:pPr>
            <w:r>
              <w:rPr>
                <w:rFonts w:eastAsia="Arial Unicode MS" w:cs="Arial"/>
                <w:u w:color="000000"/>
              </w:rPr>
              <w:t xml:space="preserve">IMPR-4103</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40F4A" w14:textId="09999B7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B758D" w14:textId="64ECDF18"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F6BF549" w14:textId="5EB7278F"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EC58BA" w14:textId="1BADDC85" w:rsidR="00374014" w:rsidRPr="008B6C93" w:rsidRDefault="00374014" w:rsidP="00594976">
            <w:pPr>
              <w:contextualSpacing/>
              <w:rPr>
                <w:rFonts w:cs="Arial"/>
              </w:rPr>
            </w:pPr>
            <w:r>
              <w:rPr>
                <w:rFonts w:cs="Arial"/>
              </w:rPr>
              <w:t xml:space="preserve">PMRA-4207</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4AA24" w14:textId="77F19C7A" w:rsidR="00374014" w:rsidRPr="008B6C93" w:rsidRDefault="00374014" w:rsidP="00594976">
            <w:pPr>
              <w:contextualSpacing/>
              <w:rPr>
                <w:rFonts w:cs="Arial"/>
              </w:rPr>
            </w:pPr>
            <w:r>
              <w:rPr>
                <w:rFonts w:cs="Arial"/>
              </w:rPr>
              <w:t xml:space="preserve">Process Monitoring and Routine Asset Care</w:t>
            </w:r>
          </w:p>
        </w:tc>
        <w:tc>
          <w:tcPr>
            <w:tcW w:w="4111" w:type="dxa"/>
            <w:tcBorders>
              <w:top w:val="single" w:sz="4" w:space="0" w:color="000000"/>
              <w:left w:val="single" w:sz="4" w:space="0" w:color="000000"/>
              <w:bottom w:val="single" w:sz="4" w:space="0" w:color="000000"/>
              <w:right w:val="single" w:sz="4" w:space="0" w:color="000000"/>
            </w:tcBorders>
            <w:vAlign w:val="center"/>
          </w:tcPr>
          <w:p w14:paraId="00ACE011" w14:textId="746CB61E"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Read basic process indicators and trends and compare them with approved operating ranges.</w:t>
            </w:r>
          </w:p>
          <w:p w14:paraId="5FA9A09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Complete non-invasive pre-use and routine asset-care checks permitted by a supplied procedure.</w:t>
            </w:r>
          </w:p>
          <w:p w14:paraId="20D0075D" w14:textId="0D1E54D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 clear shift record and prioritise reporting of defects and abnormal conditions.</w:t>
            </w:r>
          </w:p>
        </w:tc>
        <w:tc>
          <w:tcPr>
            <w:tcW w:w="1276" w:type="dxa"/>
            <w:tcBorders>
              <w:top w:val="single" w:sz="4" w:space="0" w:color="000000"/>
              <w:left w:val="single" w:sz="4" w:space="0" w:color="000000"/>
              <w:bottom w:val="single" w:sz="4" w:space="0" w:color="000000"/>
              <w:right w:val="single" w:sz="4" w:space="0" w:color="000000"/>
            </w:tcBorders>
          </w:tcPr>
          <w:p w14:paraId="67B73DEB" w14:textId="6861E899" w:rsidR="00374014" w:rsidRPr="008B6C93" w:rsidRDefault="00374014" w:rsidP="00594976">
            <w:pPr>
              <w:contextualSpacing/>
              <w:rPr>
                <w:rFonts w:eastAsia="Arial Unicode MS" w:cs="Arial"/>
                <w:u w:color="000000"/>
              </w:rPr>
              <w:jc w:val="center"/>
            </w:pPr>
            <w:r>
              <w:rPr>
                <w:rFonts w:eastAsia="Arial Unicode MS" w:cs="Arial"/>
                <w:u w:color="000000"/>
              </w:rPr>
              <w:t xml:space="preserve">SEPM-4104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CF56FB" w14:textId="6E377987"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48C9A0" w14:textId="613E19C4"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1EB8095" w14:textId="3D680E0B"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C02D8FD" w14:textId="22B0B84F" w:rsidR="00374014" w:rsidRPr="008B6C93" w:rsidRDefault="00374014" w:rsidP="00594976">
            <w:pPr>
              <w:contextualSpacing/>
              <w:rPr>
                <w:rFonts w:cs="Arial"/>
              </w:rPr>
            </w:pPr>
            <w:r>
              <w:rPr>
                <w:rFonts w:cs="Arial"/>
              </w:rPr>
              <w:t xml:space="preserve">IMPO-4208</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4B2978" w14:textId="709B82EA" w:rsidR="00374014" w:rsidRPr="008B6C93" w:rsidRDefault="00374014" w:rsidP="00594976">
            <w:pPr>
              <w:contextualSpacing/>
              <w:rPr>
                <w:rFonts w:cs="Arial"/>
              </w:rPr>
            </w:pPr>
            <w:r>
              <w:rPr>
                <w:rFonts w:cs="Arial"/>
              </w:rPr>
              <w:t xml:space="preserve">Integrated Mineral Processing Operations Simulation</w:t>
            </w:r>
          </w:p>
        </w:tc>
        <w:tc>
          <w:tcPr>
            <w:tcW w:w="4111" w:type="dxa"/>
            <w:tcBorders>
              <w:top w:val="single" w:sz="4" w:space="0" w:color="000000"/>
              <w:left w:val="single" w:sz="4" w:space="0" w:color="000000"/>
              <w:bottom w:val="single" w:sz="4" w:space="0" w:color="000000"/>
              <w:right w:val="single" w:sz="4" w:space="0" w:color="000000"/>
            </w:tcBorders>
            <w:vAlign w:val="center"/>
          </w:tcPr>
          <w:p w14:paraId="0D69CD3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Plan and coordinate a bounded simulated processing shift with agreed roles, checks and environmental controls.</w:t>
            </w:r>
          </w:p>
          <w:p w14:paraId="71DB96DB" w14:textId="5A6C460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Interpret sampling and operating data to resolve routine and selected unfamiliar deviations within supplied authority limits.</w:t>
            </w:r>
          </w:p>
          <w:p w14:paraId="4282A5FA" w14:textId="51F2FCDD"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Defend an evidence-based shift report and evaluate personal and team performance against targets.</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6494E" w14:textId="0F252262" w:rsidR="00374014" w:rsidRPr="008B6C93" w:rsidRDefault="00374014" w:rsidP="00594976">
            <w:pPr>
              <w:contextualSpacing/>
              <w:rPr>
                <w:rFonts w:eastAsia="Arial Unicode MS" w:cs="Arial"/>
                <w:u w:color="000000"/>
              </w:rPr>
              <w:jc w:val="center"/>
            </w:pPr>
            <w:r>
              <w:rPr>
                <w:rFonts w:eastAsia="Arial Unicode MS" w:cs="Arial"/>
                <w:u w:color="000000"/>
              </w:rPr>
              <w:t xml:space="preserve">SEPM-4104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6F4E0" w14:textId="266F596F"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D106A" w14:textId="18C6BA03"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bl>
    <w:p w14:paraId="0CCA4BE6" w14:textId="7C3A3F6E" w:rsidR="00FF096D" w:rsidRPr="008B6C93" w:rsidRDefault="00FF096D">
      <w:pPr>
        <w:rPr>
          <w:rFonts w:cs="Arial"/>
        </w:rPr>
        <w:sectPr w:rsidR="00FF096D" w:rsidRPr="008B6C93" w:rsidSect="00374014">
          <w:pgSz w:w="11906" w:h="16838"/>
          <w:pgMar w:top="907" w:right="850" w:bottom="907" w:left="850" w:header="397" w:footer="397" w:gutter="0"/>
          <w:cols w:space="720"/>
          <w:docGrid w:linePitch="360"/>
        </w:sectPr>
      </w:pPr>
      <w:r w:rsidRPr="008B6C93">
        <w:rPr>
          <w:rFonts w:cs="Arial"/>
        </w:rPr>
        <w:t xml:space="preserve"> </w:t>
      </w:r>
    </w:p>
    <w:p w14:paraId="47CE6469" w14:textId="436C8185" w:rsidR="00C65B51" w:rsidRPr="008B6C93" w:rsidRDefault="00374014">
      <w:pPr>
        <w:pStyle w:val="Heading1"/>
        <w:rPr>
          <w:rFonts w:ascii="Arial" w:hAnsi="Arial" w:cs="Arial"/>
          <w:sz w:val="22"/>
          <w:szCs w:val="22"/>
        </w:rPr>
      </w:pPr>
      <w:r w:rsidRPr="008B6C93">
        <w:rPr>
          <w:rFonts w:ascii="Arial" w:hAnsi="Arial" w:cs="Arial"/>
          <w:sz w:val="22"/>
          <w:szCs w:val="22"/>
        </w:rPr>
        <w:lastRenderedPageBreak/>
        <w:t xml:space="preserve">Qualification Mapping and Learning Resources </w:t>
      </w:r>
    </w:p>
    <w:p w14:paraId="1CEBEEC9" w14:textId="77777777" w:rsidR="00374014" w:rsidRPr="008B6C93" w:rsidRDefault="00374014" w:rsidP="00374014">
      <w:pPr>
        <w:rPr>
          <w:rFonts w:cs="Arial"/>
        </w:rPr>
      </w:pPr>
    </w:p>
    <w:tbl>
      <w:tblPr>
        <w:tblLook w:val="0000" w:firstRow="0" w:lastRow="0" w:firstColumn="0" w:lastColumn="0" w:noHBand="0" w:noVBand="0"/>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2268"/>
        <w:gridCol w:w="1276"/>
        <w:gridCol w:w="5103"/>
        <w:gridCol w:w="5670"/>
      </w:tblGrid>
      <w:tr w:rsidR="0020464B" w:rsidRPr="008B6C93" w14:paraId="3DB62935" w14:textId="77777777" w:rsidTr="002601F3">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6CB904A5" w14:textId="77777777"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10F4229C" w14:textId="4ECCF44F"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0E0671C" w14:textId="344F5393"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BE045A2" w14:textId="1F019684"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5DC34FE" w14:textId="435814B5"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Key Learning Resources (Prescribed and Recommended) </w:t>
            </w:r>
          </w:p>
        </w:tc>
      </w:tr>
      <w:tr w:rsidR="0020464B" w:rsidRPr="008B6C93" w14:paraId="4559A9F4"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057B604"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1</w:t>
            </w:r>
          </w:p>
        </w:tc>
        <w:tc>
          <w:tcPr>
            <w:tcW w:w="2268" w:type="dxa"/>
            <w:tcBorders>
              <w:top w:val="single" w:sz="4" w:space="0" w:color="000000"/>
              <w:left w:val="single" w:sz="4" w:space="0" w:color="000000"/>
              <w:bottom w:val="single" w:sz="4" w:space="0" w:color="000000"/>
              <w:right w:val="single" w:sz="4" w:space="0" w:color="000000"/>
            </w:tcBorders>
          </w:tcPr>
          <w:p w14:paraId="0FEE702D" w14:textId="43916802"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COLT-4101 – Communication and Literacy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23514" w14:textId="28BC7290" w:rsidR="0020464B" w:rsidRPr="008B6C93" w:rsidRDefault="00DF45C1" w:rsidP="0020464B">
            <w:pPr>
              <w:pStyle w:val="BodyA"/>
              <w:contextualSpacing/>
              <w:rPr>
                <w:rFonts w:ascii="Arial" w:hAnsi="Arial" w:cs="Arial"/>
                <w:sz w:val="22"/>
                <w:szCs w:val="22"/>
              </w:rPr>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An individual portfolio contains an annotated text comparison, an audience-adapted referenced report, routine correspondence and an observed oral presentation. An unfamiliar concrete scenario introduces conflicting instructions or uncertain source quality; learners justify interpretation and propose clarification. Assessment checks coherent organisation, appropriate register, evidence use and responsibility for revisions after feedback. Approved accessibility arrangements may change the medium without lowering the standard.</w:t>
            </w:r>
          </w:p>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C136B" w14:textId="77777777" w:rsidR="00C21F76" w:rsidRDefault="00C21F76" w:rsidP="00932CEC">
            <w:pPr>
              <w:jc w:val="both"/>
            </w:pPr>
            <w:hyperlink r:id="rId34">
              <w:r>
                <w:rPr>
                  <w:color w:val="052A4F"/>
                </w:rPr>
                <w:t>Grant, T., &amp; Borcherds, R. (2019). Communicating @ work: Boosting your spoken, written and visual impact (4th ed.). Van Schaik.</w:t>
              </w:r>
            </w:hyperlink>
          </w:p>
          <w:p w14:paraId="0EDC136B" w14:textId="77777777" w:rsidR="00C21F76" w:rsidRDefault="00C21F76" w:rsidP="00932CEC">
            <w:pPr>
              <w:jc w:val="both"/>
            </w:pPr>
            <w:hyperlink r:id="rId35">
              <w:r>
                <w:rPr>
                  <w:color w:val="052A4F"/>
                </w:rPr>
                <w:t>Jonker, B. E., &amp; Mtshelwane, N. D. P. (Eds.). (2021). Developing soft skills for success: A guide for modern professionals. Van Schaik.</w:t>
              </w:r>
            </w:hyperlink>
          </w:p>
          <w:p w14:paraId="0EDC136B" w14:textId="77777777" w:rsidR="00C21F76" w:rsidRDefault="00C21F76" w:rsidP="00932CEC">
            <w:pPr>
              <w:jc w:val="both"/>
            </w:pPr>
            <w:hyperlink r:id="rId36">
              <w:r>
                <w:rPr>
                  <w:color w:val="052A4F"/>
                </w:rPr>
                <w:t>Smith, J. (2019). Communication at work: A college-to-career guide to success. eCampusOntario.</w:t>
              </w:r>
            </w:hyperlink>
          </w:p>
          <w:p w14:paraId="0EDC136B" w14:textId="77777777" w:rsidR="00C21F76" w:rsidRDefault="00C21F76" w:rsidP="00932CEC">
            <w:pPr>
              <w:jc w:val="both"/>
            </w:pPr>
            <w:hyperlink r:id="rId37">
              <w:r>
                <w:rPr>
                  <w:color w:val="052A4F"/>
                </w:rPr>
                <w:t>Robinson, M. B., Jerskey, M., &amp; Fulwiler, T. (2021). Writing guide with handbook. OpenStax.</w:t>
              </w:r>
            </w:hyperlink>
          </w:p>
          <w:p w14:paraId="0EDC136B" w14:textId="77777777" w:rsidR="00C21F76" w:rsidRDefault="00C21F76" w:rsidP="00932CEC">
            <w:pPr>
              <w:jc w:val="both"/>
            </w:pPr>
            <w:hyperlink r:id="rId38">
              <w:r>
                <w:rPr>
                  <w:color w:val="052A4F"/>
                </w:rPr>
                <w:t>Ireton, C., &amp; Posetti, J. (Eds.). (2018). Journalism, “fake news” &amp; disinformation: Handbook for journalism education and training. UNESCO.</w:t>
              </w:r>
            </w:hyperlink>
          </w:p>
          <w:p w14:paraId="0EDC136B" w14:textId="77777777" w:rsidR="00C21F76" w:rsidRDefault="00C21F76" w:rsidP="00932CEC">
            <w:pPr>
              <w:jc w:val="both"/>
            </w:pPr>
            <w:hyperlink r:id="rId39">
              <w:r>
                <w:rPr>
                  <w:color w:val="052A4F"/>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5D8D0FF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BD9C42B"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2</w:t>
            </w:r>
          </w:p>
        </w:tc>
        <w:tc>
          <w:tcPr>
            <w:tcW w:w="2268" w:type="dxa"/>
            <w:tcBorders>
              <w:top w:val="single" w:sz="4" w:space="0" w:color="000000"/>
              <w:left w:val="single" w:sz="4" w:space="0" w:color="000000"/>
              <w:bottom w:val="single" w:sz="4" w:space="0" w:color="000000"/>
              <w:right w:val="single" w:sz="4" w:space="0" w:color="000000"/>
            </w:tcBorders>
          </w:tcPr>
          <w:p w14:paraId="0C4766E3" w14:textId="5BC81C36"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DSAI-4102 – Digital Skills and Artificial Intelligence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2CDF6" w14:textId="7B624D02"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portfolio uses synthetic or non-confidential data only: a justified tool-selection note, spreadsheet, presentation and bounded AI task. Learners retain prompts, disclose assistance, verify unfamiliar outputs against credible sources and correct errors. A practical check tests phishing, privacy and secure sharing. Personal data and proprietary mine, business or municipal records must not be uploaded to AI tools.</w:t>
            </w:r>
          </w:p>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1DEC" w14:textId="77777777" w:rsidR="002601F3" w:rsidRDefault="002601F3" w:rsidP="00932CEC">
            <w:pPr>
              <w:jc w:val="both"/>
            </w:pPr>
            <w:hyperlink r:id="rId40">
              <w:r>
                <w:rPr>
                  <w:color w:val="052A4F"/>
                </w:rPr>
                <w:t>LibreOffice Documentation Team. (2024). Getting started guide 24.8. The Document Foundation.</w:t>
              </w:r>
            </w:hyperlink>
          </w:p>
          <w:p w14:paraId="16911DEC" w14:textId="77777777" w:rsidR="002601F3" w:rsidRDefault="002601F3" w:rsidP="00932CEC">
            <w:pPr>
              <w:jc w:val="both"/>
            </w:pPr>
            <w:hyperlink r:id="rId13">
              <w:r>
                <w:rPr>
                  <w:color w:val="052A4F"/>
                </w:rPr>
                <w:t>Miao, F., Shiohira, K., &amp; Lao, N. (2024). AI competency framework for students. UNESCO. https://doi.org/10.54675/JKJB9835</w:t>
              </w:r>
            </w:hyperlink>
          </w:p>
          <w:p w14:paraId="16911DEC" w14:textId="77777777" w:rsidR="002601F3" w:rsidRDefault="002601F3" w:rsidP="00932CEC">
            <w:pPr>
              <w:jc w:val="both"/>
            </w:pPr>
            <w:hyperlink r:id="rId41">
              <w:r>
                <w:rPr>
                  <w:color w:val="052A4F"/>
                </w:rPr>
                <w:t>Miao, F., &amp; Holmes, W. (2023). Guidance for generative AI in education and research. UNESCO. https://doi.org/10.54675/EWZM9535</w:t>
              </w:r>
            </w:hyperlink>
          </w:p>
          <w:p w14:paraId="16911DEC" w14:textId="77777777" w:rsidR="002601F3" w:rsidRDefault="002601F3" w:rsidP="00932CEC">
            <w:pPr>
              <w:jc w:val="both"/>
            </w:pPr>
            <w:hyperlink r:id="rId42">
              <w:r>
                <w:rPr>
                  <w:color w:val="052A4F"/>
                </w:rPr>
                <w:t>Ministry of Information and Communication Technology. (2022). Namibia national cybersecurity strategy &amp; awareness raising plan 2022–2027.</w:t>
              </w:r>
            </w:hyperlink>
          </w:p>
          <w:p w14:paraId="16911DEC" w14:textId="77777777" w:rsidR="002601F3" w:rsidRDefault="002601F3" w:rsidP="00932CEC">
            <w:pPr>
              <w:jc w:val="both"/>
            </w:pPr>
            <w:hyperlink r:id="rId43">
              <w:r>
                <w:rPr>
                  <w:color w:val="052A4F"/>
                </w:rPr>
                <w:t>Department of Communications and Digital Technologies. (2020). National digital and future skills strategy South Africa (Government Notice 513, Government Gazette 43730).</w:t>
              </w:r>
            </w:hyperlink>
          </w:p>
          <w:p w14:paraId="16911DEC" w14:textId="77777777" w:rsidR="002601F3" w:rsidRDefault="002601F3" w:rsidP="00932CEC">
            <w:pPr>
              <w:jc w:val="both"/>
            </w:pPr>
            <w:hyperlink r:id="rId38">
              <w:r>
                <w:rPr>
                  <w:color w:val="052A4F"/>
                </w:rPr>
                <w:t>Ireton, C., &amp; Posetti, J. (Eds.). (2018). Journalism, “fake news” &amp; disinformation: Handbook for journalism education and training. UNESCO.</w:t>
              </w:r>
            </w:hyperlink>
          </w:p>
        </w:tc>
      </w:tr>
      <w:tr w:rsidR="0020464B" w:rsidRPr="008B6C93" w14:paraId="610441A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7A9A55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3</w:t>
            </w:r>
          </w:p>
        </w:tc>
        <w:tc>
          <w:tcPr>
            <w:tcW w:w="2268" w:type="dxa"/>
            <w:tcBorders>
              <w:top w:val="single" w:sz="4" w:space="0" w:color="000000"/>
              <w:left w:val="single" w:sz="4" w:space="0" w:color="000000"/>
              <w:bottom w:val="single" w:sz="4" w:space="0" w:color="000000"/>
              <w:right w:val="single" w:sz="4" w:space="0" w:color="000000"/>
            </w:tcBorders>
          </w:tcPr>
          <w:p w14:paraId="12398A39" w14:textId="26EF1C8F"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IMPR-4103 – Introduction to Mineral Processing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87157" w14:textId="24C6DF51"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An annotated flowsheet and calculations use supplied coastal alluvial-diamond data plus a contrasting commodity case. Initial tasks are desk-based. After demonstrated SEPM-4104 safety readiness, learners perform observed representative sampling of inert material under an approved procedure and supervision, recording traceability and calculations. They identify bias, justify correction and explain limitations; neither local employment nor production-plant operation is implied.</w:t>
            </w:r>
          </w:p>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55E7A" w14:textId="77777777" w:rsidR="002601F3" w:rsidRDefault="002601F3" w:rsidP="00932CEC">
            <w:pPr>
              <w:jc w:val="both"/>
            </w:pPr>
            <w:hyperlink r:id="rId44">
              <w:r>
                <w:rPr>
                  <w:color w:val="052A4F"/>
                </w:rPr>
                <w:t>Metso Outotec. (2021). Basics in minerals processing (12th ed.).</w:t>
              </w:r>
            </w:hyperlink>
          </w:p>
          <w:p w14:paraId="09D55E7A" w14:textId="77777777" w:rsidR="002601F3" w:rsidRDefault="002601F3" w:rsidP="00932CEC">
            <w:pPr>
              <w:jc w:val="both"/>
            </w:pPr>
            <w:hyperlink r:id="rId45">
              <w:r>
                <w:rPr>
                  <w:color w:val="052A4F"/>
                </w:rPr>
                <w:t>Dunne, R. C., Kawatra, S. K., &amp; Young, C. A. (Eds.). (2019). SME mineral processing &amp; extractive metallurgy handbook. Society for Mining, Metallurgy &amp; Exploration.</w:t>
              </w:r>
            </w:hyperlink>
          </w:p>
          <w:p w14:paraId="09D55E7A" w14:textId="77777777" w:rsidR="002601F3" w:rsidRDefault="002601F3" w:rsidP="00932CEC">
            <w:pPr>
              <w:jc w:val="both"/>
            </w:pPr>
            <w:hyperlink r:id="rId46">
              <w:r>
                <w:rPr>
                  <w:color w:val="052A4F"/>
                </w:rPr>
                <w:t>Environmental Compliance Consultancy. (2019). Best practice guide: Environmental principles for mining in Namibia—Part 4: Mining and processing operations. Chamber of Mines of Namibia, Namibian Chamber of Environment, and Government of Namibia.</w:t>
              </w:r>
            </w:hyperlink>
          </w:p>
          <w:p w14:paraId="09D55E7A" w14:textId="77777777" w:rsidR="002601F3" w:rsidRDefault="002601F3" w:rsidP="00932CEC">
            <w:pPr>
              <w:jc w:val="both"/>
            </w:pPr>
            <w:hyperlink r:id="rId47">
              <w:r>
                <w:rPr>
                  <w:color w:val="052A4F"/>
                </w:rPr>
                <w:t>Corin, K. C., McFadzean, B. J., Shackleton, N. J., &amp; O’Connor, C. T. (2021). Challenges related to the processing of fines in the recovery of platinum group minerals (PGMs). Minerals, 11(5), Article 533. https://doi.org/10.3390/min11050533</w:t>
              </w:r>
            </w:hyperlink>
          </w:p>
          <w:p w14:paraId="09D55E7A" w14:textId="77777777" w:rsidR="002601F3" w:rsidRDefault="002601F3" w:rsidP="00932CEC">
            <w:pPr>
              <w:jc w:val="both"/>
            </w:pPr>
            <w:hyperlink r:id="rId48">
              <w:r>
                <w:rPr>
                  <w:color w:val="052A4F"/>
                </w:rPr>
                <w:t>Chamber of Mines of Namibia. (2024). 2023 annual review.</w:t>
              </w:r>
            </w:hyperlink>
          </w:p>
          <w:p w14:paraId="09D55E7A" w14:textId="77777777" w:rsidR="002601F3" w:rsidRDefault="002601F3" w:rsidP="00932CEC">
            <w:pPr>
              <w:jc w:val="both"/>
            </w:pPr>
            <w:hyperlink r:id="rId49">
              <w:r>
                <w:rPr>
                  <w:color w:val="052A4F"/>
                </w:rPr>
                <w:t>International Labour Organization. (2018). Safety and health in opencast mines: ILO code of practice (Revised ed.).</w:t>
              </w:r>
            </w:hyperlink>
          </w:p>
        </w:tc>
      </w:tr>
      <w:tr w:rsidR="0020464B" w:rsidRPr="008B6C93" w14:paraId="7F58953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B5779AF"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4</w:t>
            </w:r>
          </w:p>
        </w:tc>
        <w:tc>
          <w:tcPr>
            <w:tcW w:w="2268" w:type="dxa"/>
            <w:tcBorders>
              <w:top w:val="single" w:sz="4" w:space="0" w:color="000000"/>
              <w:left w:val="single" w:sz="4" w:space="0" w:color="000000"/>
              <w:bottom w:val="single" w:sz="4" w:space="0" w:color="000000"/>
              <w:right w:val="single" w:sz="4" w:space="0" w:color="000000"/>
            </w:tcBorders>
          </w:tcPr>
          <w:p w14:paraId="65E41C7E" w14:textId="3E2764B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SEPM-4104 – Safety and Environmental Practices in Mineral Processing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25F998" w14:textId="36DDAF5F"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complete a hazard-control register, a simple material-and-water balance and an observed pre-task briefing for a model processing area. Scenario stations assess recognition of moving machinery, dust, noise, spills and uncertain isolation. Learners explain when to stop and escalate; the assessor checks procedural accuracy and excludes work on live or unguarded equipment.</w:t>
            </w:r>
          </w:p>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9066A8" w14:textId="77777777" w:rsidR="002601F3" w:rsidRDefault="002601F3" w:rsidP="00932CEC">
            <w:pPr>
              <w:jc w:val="both"/>
            </w:pPr>
            <w:hyperlink r:id="rId46">
              <w:r>
                <w:rPr>
                  <w:color w:val="052A4F"/>
                </w:rPr>
                <w:t>Environmental Compliance Consultancy. (2019). Best practice guide: Environmental principles for mining in Namibia—Part 4: Mining and processing operations. Chamber of Mines of Namibia, Namibian Chamber of Environment, and Government of Namibia.</w:t>
              </w:r>
            </w:hyperlink>
          </w:p>
          <w:p w14:paraId="4B9066A8" w14:textId="77777777" w:rsidR="002601F3" w:rsidRDefault="002601F3" w:rsidP="00932CEC">
            <w:pPr>
              <w:jc w:val="both"/>
            </w:pPr>
            <w:hyperlink r:id="rId48">
              <w:r>
                <w:rPr>
                  <w:color w:val="052A4F"/>
                </w:rPr>
                <w:t>Chamber of Mines of Namibia. (2024). 2023 annual review.</w:t>
              </w:r>
            </w:hyperlink>
          </w:p>
          <w:p w14:paraId="4B9066A8" w14:textId="77777777" w:rsidR="002601F3" w:rsidRDefault="002601F3" w:rsidP="00932CEC">
            <w:pPr>
              <w:jc w:val="both"/>
            </w:pPr>
            <w:hyperlink r:id="rId50">
              <w:r>
                <w:rPr>
                  <w:color w:val="052A4F"/>
                </w:rPr>
                <w:t>Cecala, A. B., O’Brien, A. D., Schall, J., Colinet, J. F., Franta, R. J., Schultz, M. J., Haas, E. J., Robinson, J. E., Patts, J. R., Holen, B. M., Stein, R. R., Weber, J., Strebel, M., Wilson, L., &amp; Ellis, M. (2019). Dust control handbook for industrial minerals mining and processing (2nd ed.; DHHS (NIOSH) Publication No. 2019-124). National Institute for Occupational Safety and Health. https://doi.org/10.26616/NIOSHPUB2019124</w:t>
              </w:r>
            </w:hyperlink>
          </w:p>
          <w:p w14:paraId="4B9066A8" w14:textId="77777777" w:rsidR="002601F3" w:rsidRDefault="002601F3" w:rsidP="00932CEC">
            <w:pPr>
              <w:jc w:val="both"/>
            </w:pPr>
            <w:hyperlink r:id="rId49">
              <w:r>
                <w:rPr>
                  <w:color w:val="052A4F"/>
                </w:rPr>
                <w:t>International Labour Organization. (2018). Safety and health in opencast mines: ILO code of practice (Revised ed.).</w:t>
              </w:r>
            </w:hyperlink>
          </w:p>
          <w:p w14:paraId="4B9066A8" w14:textId="77777777" w:rsidR="002601F3" w:rsidRDefault="002601F3" w:rsidP="00932CEC">
            <w:pPr>
              <w:jc w:val="both"/>
            </w:pPr>
            <w:hyperlink r:id="rId51">
              <w:r>
                <w:rPr>
                  <w:color w:val="052A4F"/>
                </w:rPr>
                <w:t>International Council on Mining and Metals. (2021). Tailings management: Good practice guide.</w:t>
              </w:r>
            </w:hyperlink>
          </w:p>
          <w:p w14:paraId="4B9066A8" w14:textId="77777777" w:rsidR="002601F3" w:rsidRDefault="002601F3" w:rsidP="00932CEC">
            <w:pPr>
              <w:jc w:val="both"/>
            </w:pPr>
            <w:hyperlink r:id="rId44">
              <w:r>
                <w:rPr>
                  <w:color w:val="052A4F"/>
                </w:rPr>
                <w:t>Metso Outotec. (2021). Basics in minerals processing (12th ed.).</w:t>
              </w:r>
            </w:hyperlink>
          </w:p>
        </w:tc>
      </w:tr>
      <w:tr w:rsidR="0020464B" w:rsidRPr="008B6C93" w14:paraId="3E544650"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460988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5</w:t>
            </w:r>
          </w:p>
        </w:tc>
        <w:tc>
          <w:tcPr>
            <w:tcW w:w="2268" w:type="dxa"/>
            <w:tcBorders>
              <w:top w:val="single" w:sz="4" w:space="0" w:color="000000"/>
              <w:left w:val="single" w:sz="4" w:space="0" w:color="000000"/>
              <w:bottom w:val="single" w:sz="4" w:space="0" w:color="000000"/>
              <w:right w:val="single" w:sz="4" w:space="0" w:color="000000"/>
            </w:tcBorders>
          </w:tcPr>
          <w:p w14:paraId="08C91698" w14:textId="0850180E" w:rsidR="0020464B" w:rsidRPr="008B6C93" w:rsidRDefault="0020464B" w:rsidP="0020464B">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SRC-4205 – Size Reduction and Classification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746FA1" w14:textId="464321A3" w:rsidR="0020464B" w:rsidRPr="008B6C93" w:rsidRDefault="00DF45C1" w:rsidP="0020464B">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A flowsheet interpretation task and guarded demonstration or simulation generate size-distribution and throughput records. Learners complete a screening calculation, explain one performance deviation and select a response from approved options. An oral check distinguishes observation and escalation from authorised intervention; no assessment requires clearing a live blockage or adjusting unapproved plant settings.</w:t>
            </w:r>
          </w:p>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A1200" w14:textId="77777777" w:rsidR="00932CEC" w:rsidRDefault="00932CEC" w:rsidP="00932CEC">
            <w:pPr>
              <w:jc w:val="both"/>
            </w:pPr>
            <w:hyperlink r:id="rId44">
              <w:r>
                <w:rPr>
                  <w:color w:val="052A4F"/>
                </w:rPr>
                <w:t>Metso Outotec. (2021). Basics in minerals processing (12th ed.).</w:t>
              </w:r>
            </w:hyperlink>
          </w:p>
          <w:p w14:paraId="527A1200" w14:textId="77777777" w:rsidR="00932CEC" w:rsidRDefault="00932CEC" w:rsidP="00932CEC">
            <w:pPr>
              <w:jc w:val="both"/>
            </w:pPr>
            <w:hyperlink r:id="rId45">
              <w:r>
                <w:rPr>
                  <w:color w:val="052A4F"/>
                </w:rPr>
                <w:t>Dunne, R. C., Kawatra, S. K., &amp; Young, C. A. (Eds.). (2019). SME mineral processing &amp; extractive metallurgy handbook. Society for Mining, Metallurgy &amp; Exploration.</w:t>
              </w:r>
            </w:hyperlink>
          </w:p>
          <w:p w14:paraId="527A1200" w14:textId="77777777" w:rsidR="00932CEC" w:rsidRDefault="00932CEC" w:rsidP="00932CEC">
            <w:pPr>
              <w:jc w:val="both"/>
            </w:pPr>
            <w:hyperlink r:id="rId47">
              <w:r>
                <w:rPr>
                  <w:color w:val="052A4F"/>
                </w:rPr>
                <w:t>Corin, K. C., McFadzean, B. J., Shackleton, N. J., &amp; O’Connor, C. T. (2021). Challenges related to the processing of fines in the recovery of platinum group minerals (PGMs). Minerals, 11(5), Article 533. https://doi.org/10.3390/min11050533</w:t>
              </w:r>
            </w:hyperlink>
          </w:p>
          <w:p w14:paraId="527A1200" w14:textId="77777777" w:rsidR="00932CEC" w:rsidRDefault="00932CEC" w:rsidP="00932CEC">
            <w:pPr>
              <w:jc w:val="both"/>
            </w:pPr>
            <w:hyperlink r:id="rId46">
              <w:r>
                <w:rPr>
                  <w:color w:val="052A4F"/>
                </w:rPr>
                <w:t>Environmental Compliance Consultancy. (2019). Best practice guide: Environmental principles for mining in Namibia—Part 4: Mining and processing operations. Chamber of Mines of Namibia, Namibian Chamber of Environment, and Government of Namibia.</w:t>
              </w:r>
            </w:hyperlink>
          </w:p>
          <w:p w14:paraId="527A1200" w14:textId="77777777" w:rsidR="00932CEC" w:rsidRDefault="00932CEC" w:rsidP="00932CEC">
            <w:pPr>
              <w:jc w:val="both"/>
            </w:pPr>
            <w:hyperlink r:id="rId52">
              <w:r>
                <w:rPr>
                  <w:color w:val="052A4F"/>
                </w:rPr>
                <w:t>Tavares, L. M. (Ed.). (2021). Comminution in the minerals industry. MDPI.</w:t>
              </w:r>
            </w:hyperlink>
          </w:p>
          <w:p w14:paraId="527A1200" w14:textId="77777777" w:rsidR="00932CEC" w:rsidRDefault="00932CEC" w:rsidP="00932CEC">
            <w:pPr>
              <w:jc w:val="both"/>
            </w:pPr>
            <w:hyperlink r:id="rId50">
              <w:r>
                <w:rPr>
                  <w:color w:val="052A4F"/>
                </w:rPr>
                <w:t>Cecala, A. B., O’Brien, A. D., Schall, J., Colinet, J. F., Franta, R. J., Schultz, M. J., Haas, E. J., Robinson, J. E., Patts, J. R., Holen, B. M., Stein, R. R., Weber, J., Strebel, M., Wilson, L., &amp; Ellis, M. (2019). Dust control handbook for industrial minerals mining and processing (2nd ed.; DHHS (NIOSH) Publication No. 2019-124). National Institute for Occupational Safety and Health. https://doi.org/10.26616/NIOSHPUB2019124</w:t>
              </w:r>
            </w:hyperlink>
          </w:p>
        </w:tc>
      </w:tr>
      <w:tr w:rsidR="0020464B" w:rsidRPr="008B6C93" w14:paraId="477C6EF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21A3ED5"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6</w:t>
            </w:r>
          </w:p>
        </w:tc>
        <w:tc>
          <w:tcPr>
            <w:tcW w:w="2268" w:type="dxa"/>
            <w:tcBorders>
              <w:top w:val="single" w:sz="4" w:space="0" w:color="000000"/>
              <w:left w:val="single" w:sz="4" w:space="0" w:color="000000"/>
              <w:bottom w:val="single" w:sz="4" w:space="0" w:color="000000"/>
              <w:right w:val="single" w:sz="4" w:space="0" w:color="000000"/>
            </w:tcBorders>
          </w:tcPr>
          <w:p w14:paraId="03E94E12" w14:textId="03B77475"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MSR-4206 – Mineral Separation and Recovery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4B01A" w14:textId="19C446EE"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Using inert media or a digital simulation, learners complete a bounded separation trial, record settings and observations, and calculate product yield and recovery from a supplied mass balance. A concise technical note compares results with targets, identifies plausible causes and recommends only permitted actions. Assessment checks safe procedure, numerical consistency and recognition of method limitations.</w:t>
            </w:r>
          </w:p>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0A35E" w14:textId="77777777" w:rsidR="00932CEC" w:rsidRDefault="00932CEC" w:rsidP="00932CEC">
            <w:pPr>
              <w:jc w:val="both"/>
            </w:pPr>
            <w:hyperlink r:id="rId44">
              <w:r>
                <w:rPr>
                  <w:color w:val="052A4F"/>
                </w:rPr>
                <w:t>Metso Outotec. (2021). Basics in minerals processing (12th ed.).</w:t>
              </w:r>
            </w:hyperlink>
          </w:p>
          <w:p w14:paraId="7FB0A35E" w14:textId="77777777" w:rsidR="00932CEC" w:rsidRDefault="00932CEC" w:rsidP="00932CEC">
            <w:pPr>
              <w:jc w:val="both"/>
            </w:pPr>
            <w:hyperlink r:id="rId45">
              <w:r>
                <w:rPr>
                  <w:color w:val="052A4F"/>
                </w:rPr>
                <w:t>Dunne, R. C., Kawatra, S. K., &amp; Young, C. A. (Eds.). (2019). SME mineral processing &amp; extractive metallurgy handbook. Society for Mining, Metallurgy &amp; Exploration.</w:t>
              </w:r>
            </w:hyperlink>
          </w:p>
          <w:p w14:paraId="7FB0A35E" w14:textId="77777777" w:rsidR="00932CEC" w:rsidRDefault="00932CEC" w:rsidP="00932CEC">
            <w:pPr>
              <w:jc w:val="both"/>
            </w:pPr>
            <w:hyperlink r:id="rId47">
              <w:r>
                <w:rPr>
                  <w:color w:val="052A4F"/>
                </w:rPr>
                <w:t>Corin, K. C., McFadzean, B. J., Shackleton, N. J., &amp; O’Connor, C. T. (2021). Challenges related to the processing of fines in the recovery of platinum group minerals (PGMs). Minerals, 11(5), Article 533. https://doi.org/10.3390/min11050533</w:t>
              </w:r>
            </w:hyperlink>
          </w:p>
          <w:p w14:paraId="7FB0A35E" w14:textId="77777777" w:rsidR="00932CEC" w:rsidRDefault="00932CEC" w:rsidP="00932CEC">
            <w:pPr>
              <w:jc w:val="both"/>
            </w:pPr>
            <w:hyperlink r:id="rId46">
              <w:r>
                <w:rPr>
                  <w:color w:val="052A4F"/>
                </w:rPr>
                <w:t>Environmental Compliance Consultancy. (2019). Best practice guide: Environmental principles for mining in Namibia—Part 4: Mining and processing operations. Chamber of Mines of Namibia, Namibian Chamber of Environment, and Government of Namibia.</w:t>
              </w:r>
            </w:hyperlink>
          </w:p>
          <w:p w14:paraId="7FB0A35E" w14:textId="77777777" w:rsidR="00932CEC" w:rsidRDefault="00932CEC" w:rsidP="00932CEC">
            <w:pPr>
              <w:jc w:val="both"/>
            </w:pPr>
            <w:hyperlink r:id="rId48">
              <w:r>
                <w:rPr>
                  <w:color w:val="052A4F"/>
                </w:rPr>
                <w:t>Chamber of Mines of Namibia. (2024). 2023 annual review.</w:t>
              </w:r>
            </w:hyperlink>
          </w:p>
          <w:p w14:paraId="7FB0A35E" w14:textId="77777777" w:rsidR="00932CEC" w:rsidRDefault="00932CEC" w:rsidP="00932CEC">
            <w:pPr>
              <w:jc w:val="both"/>
            </w:pPr>
            <w:hyperlink r:id="rId51">
              <w:r>
                <w:rPr>
                  <w:color w:val="052A4F"/>
                </w:rPr>
                <w:t>International Council on Mining and Metals. (2021). Tailings management: Good practice guide.</w:t>
              </w:r>
            </w:hyperlink>
          </w:p>
        </w:tc>
      </w:tr>
      <w:tr w:rsidR="0020464B" w:rsidRPr="008B6C93" w14:paraId="18705148"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BB9A917"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7</w:t>
            </w:r>
          </w:p>
        </w:tc>
        <w:tc>
          <w:tcPr>
            <w:tcW w:w="2268" w:type="dxa"/>
            <w:tcBorders>
              <w:top w:val="single" w:sz="4" w:space="0" w:color="000000"/>
              <w:left w:val="single" w:sz="4" w:space="0" w:color="000000"/>
              <w:bottom w:val="single" w:sz="4" w:space="0" w:color="000000"/>
              <w:right w:val="single" w:sz="4" w:space="0" w:color="000000"/>
            </w:tcBorders>
          </w:tcPr>
          <w:p w14:paraId="6C988309" w14:textId="2FFB55C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PMRA-4207 – Process Monitoring and Routine Asset Care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7EC80" w14:textId="7987BE49"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interpret a time-series dataset, complete a simulated inspection route and prepare a defect report and shift handover. The assessor inserts routine and unfamiliar warning signs to test prioritisation, stop-work judgement and escalation. Asset-care evidence is limited to authorised non-invasive checks on isolated training equipment or simulation, not maintenance repair or proof of electrical competence.</w:t>
            </w:r>
          </w:p>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F38B6" w14:textId="77777777" w:rsidR="00932CEC" w:rsidRDefault="00932CEC" w:rsidP="00932CEC">
            <w:pPr>
              <w:jc w:val="both"/>
            </w:pPr>
            <w:hyperlink r:id="rId44">
              <w:r>
                <w:rPr>
                  <w:color w:val="052A4F"/>
                </w:rPr>
                <w:t>Metso Outotec. (2021). Basics in minerals processing (12th ed.).</w:t>
              </w:r>
            </w:hyperlink>
          </w:p>
          <w:p w14:paraId="60DF38B6" w14:textId="77777777" w:rsidR="00932CEC" w:rsidRDefault="00932CEC" w:rsidP="00932CEC">
            <w:pPr>
              <w:jc w:val="both"/>
            </w:pPr>
            <w:hyperlink r:id="rId45">
              <w:r>
                <w:rPr>
                  <w:color w:val="052A4F"/>
                </w:rPr>
                <w:t>Dunne, R. C., Kawatra, S. K., &amp; Young, C. A. (Eds.). (2019). SME mineral processing &amp; extractive metallurgy handbook. Society for Mining, Metallurgy &amp; Exploration.</w:t>
              </w:r>
            </w:hyperlink>
          </w:p>
          <w:p w14:paraId="60DF38B6" w14:textId="77777777" w:rsidR="00932CEC" w:rsidRDefault="00932CEC" w:rsidP="00932CEC">
            <w:pPr>
              <w:jc w:val="both"/>
            </w:pPr>
            <w:hyperlink r:id="rId46">
              <w:r>
                <w:rPr>
                  <w:color w:val="052A4F"/>
                </w:rPr>
                <w:t>Environmental Compliance Consultancy. (2019). Best practice guide: Environmental principles for mining in Namibia—Part 4: Mining and processing operations. Chamber of Mines of Namibia, Namibian Chamber of Environment, and Government of Namibia.</w:t>
              </w:r>
            </w:hyperlink>
          </w:p>
          <w:p w14:paraId="60DF38B6" w14:textId="77777777" w:rsidR="00932CEC" w:rsidRDefault="00932CEC" w:rsidP="00932CEC">
            <w:pPr>
              <w:jc w:val="both"/>
            </w:pPr>
            <w:hyperlink r:id="rId48">
              <w:r>
                <w:rPr>
                  <w:color w:val="052A4F"/>
                </w:rPr>
                <w:t>Chamber of Mines of Namibia. (2024). 2023 annual review.</w:t>
              </w:r>
            </w:hyperlink>
          </w:p>
          <w:p w14:paraId="60DF38B6" w14:textId="77777777" w:rsidR="00932CEC" w:rsidRDefault="00932CEC" w:rsidP="00932CEC">
            <w:pPr>
              <w:jc w:val="both"/>
            </w:pPr>
            <w:hyperlink r:id="rId53">
              <w:r>
                <w:rPr>
                  <w:color w:val="052A4F"/>
                </w:rPr>
                <w:t>International Organization for Standardization. (2024). Asset management—Asset management system—Requirements (ISO Standard No. 55001:2024).</w:t>
              </w:r>
            </w:hyperlink>
          </w:p>
          <w:p w14:paraId="60DF38B6" w14:textId="77777777" w:rsidR="00932CEC" w:rsidRDefault="00932CEC" w:rsidP="00932CEC">
            <w:pPr>
              <w:jc w:val="both"/>
            </w:pPr>
            <w:hyperlink r:id="rId50">
              <w:r>
                <w:rPr>
                  <w:color w:val="052A4F"/>
                </w:rPr>
                <w:t>Cecala, A. B., O’Brien, A. D., Schall, J., Colinet, J. F., Franta, R. J., Schultz, M. J., Haas, E. J., Robinson, J. E., Patts, J. R., Holen, B. M., Stein, R. R., Weber, J., Strebel, M., Wilson, L., &amp; Ellis, M. (2019). Dust control handbook for industrial minerals mining and processing (2nd ed.; DHHS (NIOSH) Publication No. 2019-124). National Institute for Occupational Safety and Health. https://doi.org/10.26616/NIOSHPUB2019124</w:t>
              </w:r>
            </w:hyperlink>
          </w:p>
        </w:tc>
      </w:tr>
      <w:tr w:rsidR="0020464B" w:rsidRPr="008B6C93" w14:paraId="2A31C275"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7EAEF21"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8</w:t>
            </w:r>
          </w:p>
        </w:tc>
        <w:tc>
          <w:tcPr>
            <w:tcW w:w="2268" w:type="dxa"/>
            <w:tcBorders>
              <w:top w:val="single" w:sz="4" w:space="0" w:color="000000"/>
              <w:left w:val="single" w:sz="4" w:space="0" w:color="000000"/>
              <w:bottom w:val="single" w:sz="4" w:space="0" w:color="000000"/>
              <w:right w:val="single" w:sz="4" w:space="0" w:color="000000"/>
            </w:tcBorders>
          </w:tcPr>
          <w:p w14:paraId="7AE492C3" w14:textId="58170371"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IMPO-4208 – Integrated Mineral Processing Operations Simulation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F3183" w14:textId="010681D4"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team simulation uses a supplied coastal alluvial-diamond case and a contrasting mineral-process case, following sampling through size control and separation. Each learner submits calculations, a risk-controlled shift plan, individual decisions and a handover report. An introduced deviation requires evidence-based escalation. Observation and individual defence verify competence, contribution to team performance and reflection; no actual local project is assumed.</w:t>
            </w:r>
          </w:p>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60% (documented work 30% + observed practical/performance 30%, already included in CA); final examination 40%.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FEF8D" w14:textId="77777777" w:rsidR="00932CEC" w:rsidRDefault="00932CEC" w:rsidP="00932CEC">
            <w:pPr>
              <w:jc w:val="both"/>
            </w:pPr>
            <w:hyperlink r:id="rId44">
              <w:r>
                <w:rPr>
                  <w:color w:val="052A4F"/>
                </w:rPr>
                <w:t>Metso Outotec. (2021). Basics in minerals processing (12th ed.).</w:t>
              </w:r>
            </w:hyperlink>
          </w:p>
          <w:p w14:paraId="3DFFEF8D" w14:textId="77777777" w:rsidR="00932CEC" w:rsidRDefault="00932CEC" w:rsidP="00932CEC">
            <w:pPr>
              <w:jc w:val="both"/>
            </w:pPr>
            <w:hyperlink r:id="rId45">
              <w:r>
                <w:rPr>
                  <w:color w:val="052A4F"/>
                </w:rPr>
                <w:t>Dunne, R. C., Kawatra, S. K., &amp; Young, C. A. (Eds.). (2019). SME mineral processing &amp; extractive metallurgy handbook. Society for Mining, Metallurgy &amp; Exploration.</w:t>
              </w:r>
            </w:hyperlink>
          </w:p>
          <w:p w14:paraId="3DFFEF8D" w14:textId="77777777" w:rsidR="00932CEC" w:rsidRDefault="00932CEC" w:rsidP="00932CEC">
            <w:pPr>
              <w:jc w:val="both"/>
            </w:pPr>
            <w:hyperlink r:id="rId46">
              <w:r>
                <w:rPr>
                  <w:color w:val="052A4F"/>
                </w:rPr>
                <w:t>Environmental Compliance Consultancy. (2019). Best practice guide: Environmental principles for mining in Namibia—Part 4: Mining and processing operations. Chamber of Mines of Namibia, Namibian Chamber of Environment, and Government of Namibia.</w:t>
              </w:r>
            </w:hyperlink>
          </w:p>
          <w:p w14:paraId="3DFFEF8D" w14:textId="77777777" w:rsidR="00932CEC" w:rsidRDefault="00932CEC" w:rsidP="00932CEC">
            <w:pPr>
              <w:jc w:val="both"/>
            </w:pPr>
            <w:hyperlink r:id="rId47">
              <w:r>
                <w:rPr>
                  <w:color w:val="052A4F"/>
                </w:rPr>
                <w:t>Corin, K. C., McFadzean, B. J., Shackleton, N. J., &amp; O’Connor, C. T. (2021). Challenges related to the processing of fines in the recovery of platinum group minerals (PGMs). Minerals, 11(5), Article 533. https://doi.org/10.3390/min11050533</w:t>
              </w:r>
            </w:hyperlink>
          </w:p>
          <w:p w14:paraId="3DFFEF8D" w14:textId="77777777" w:rsidR="00932CEC" w:rsidRDefault="00932CEC" w:rsidP="00932CEC">
            <w:pPr>
              <w:jc w:val="both"/>
            </w:pPr>
            <w:hyperlink r:id="rId48">
              <w:r>
                <w:rPr>
                  <w:color w:val="052A4F"/>
                </w:rPr>
                <w:t>Chamber of Mines of Namibia. (2024). 2023 annual review.</w:t>
              </w:r>
            </w:hyperlink>
          </w:p>
          <w:p w14:paraId="3DFFEF8D" w14:textId="77777777" w:rsidR="00932CEC" w:rsidRDefault="00932CEC" w:rsidP="00932CEC">
            <w:pPr>
              <w:jc w:val="both"/>
            </w:pPr>
            <w:hyperlink r:id="rId49">
              <w:r>
                <w:rPr>
                  <w:color w:val="052A4F"/>
                </w:rPr>
                <w:t>International Labour Organization. (2018). Safety and health in opencast mines: ILO code of practice (Revised ed.).</w:t>
              </w:r>
            </w:hyperlink>
          </w:p>
        </w:tc>
      </w:tr>
    </w:tbl>
    <w:p w14:paraId="1D841DA9" w14:textId="77777777" w:rsidR="0020464B" w:rsidRDefault="0020464B" w:rsidP="00374014">
      <w:pPr>
        <w:rPr>
          <w:rFonts w:cs="Arial"/>
        </w:rPr>
      </w:pPr>
    </w:p>
    <w:p w14:paraId="3B159712" w14:textId="77777777" w:rsidR="00DF45C1" w:rsidRDefault="00DF45C1" w:rsidP="00374014">
      <w:pPr>
        <w:rPr>
          <w:rFonts w:cs="Arial"/>
        </w:rPr>
      </w:pPr>
    </w:p>
    <w:p w14:paraId="3B56CD27" w14:textId="77777777" w:rsidR="00DF45C1" w:rsidRDefault="00DF45C1" w:rsidP="00374014">
      <w:pPr>
        <w:rPr>
          <w:rFonts w:cs="Arial"/>
        </w:rPr>
      </w:pPr>
    </w:p>
    <w:p w14:paraId="56C97D24" w14:textId="77777777" w:rsidR="00DF45C1" w:rsidRDefault="00DF45C1" w:rsidP="00374014">
      <w:pPr>
        <w:rPr>
          <w:rFonts w:cs="Arial"/>
        </w:rPr>
      </w:pPr>
    </w:p>
    <w:p w14:paraId="63A34A3D" w14:textId="77777777" w:rsidR="00932CEC" w:rsidRDefault="00932CEC" w:rsidP="00374014">
      <w:pPr>
        <w:rPr>
          <w:rFonts w:cs="Arial"/>
        </w:rPr>
      </w:pPr>
    </w:p>
    <w:p w14:paraId="364CFDE3" w14:textId="77777777" w:rsidR="00932CEC" w:rsidRDefault="00932CEC" w:rsidP="00374014">
      <w:pPr>
        <w:rPr>
          <w:rFonts w:cs="Arial"/>
        </w:rPr>
      </w:pPr>
    </w:p>
    <w:p w14:paraId="29BC8AA0" w14:textId="77777777" w:rsidR="00932CEC" w:rsidRDefault="00932CEC" w:rsidP="00374014">
      <w:pPr>
        <w:rPr>
          <w:rFonts w:cs="Arial"/>
        </w:rPr>
      </w:pPr>
    </w:p>
    <w:p w14:paraId="597051B0" w14:textId="77777777" w:rsidR="00932CEC" w:rsidRDefault="00932CEC" w:rsidP="00374014">
      <w:pPr>
        <w:rPr>
          <w:rFonts w:cs="Arial"/>
        </w:rPr>
      </w:pPr>
    </w:p>
    <w:p w14:paraId="629FE6A4" w14:textId="77777777" w:rsidR="00932CEC" w:rsidRDefault="00932CEC" w:rsidP="00374014">
      <w:pPr>
        <w:rPr>
          <w:rFonts w:cs="Arial"/>
        </w:rPr>
      </w:pPr>
    </w:p>
    <w:p w14:paraId="1C3FE96B" w14:textId="77777777" w:rsidR="00932CEC" w:rsidRDefault="00932CEC" w:rsidP="00374014">
      <w:pPr>
        <w:rPr>
          <w:rFonts w:cs="Arial"/>
        </w:rPr>
      </w:pPr>
    </w:p>
    <w:p w14:paraId="6BF60CE4" w14:textId="77777777" w:rsidR="00932CEC" w:rsidRDefault="00932CEC" w:rsidP="00374014">
      <w:pPr>
        <w:rPr>
          <w:rFonts w:cs="Arial"/>
        </w:rPr>
      </w:pPr>
    </w:p>
    <w:p w14:paraId="57FA8DF8" w14:textId="77777777" w:rsidR="00932CEC" w:rsidRDefault="00932CEC" w:rsidP="00374014">
      <w:pPr>
        <w:rPr>
          <w:rFonts w:cs="Arial"/>
        </w:rPr>
      </w:pPr>
    </w:p>
    <w:p w14:paraId="2AF57F1C" w14:textId="77777777" w:rsidR="00932CEC" w:rsidRDefault="00932CEC" w:rsidP="00374014">
      <w:pPr>
        <w:rPr>
          <w:rFonts w:cs="Arial"/>
        </w:rPr>
      </w:pPr>
    </w:p>
    <w:p w14:paraId="2DF86C66" w14:textId="77777777" w:rsidR="00932CEC" w:rsidRDefault="00932CEC" w:rsidP="00374014">
      <w:pPr>
        <w:rPr>
          <w:rFonts w:cs="Arial"/>
        </w:rPr>
      </w:pPr>
    </w:p>
    <w:p w14:paraId="338FFC22" w14:textId="77777777" w:rsidR="00932CEC" w:rsidRDefault="00932CEC" w:rsidP="00374014">
      <w:pPr>
        <w:rPr>
          <w:rFonts w:cs="Arial"/>
        </w:rPr>
      </w:pPr>
    </w:p>
    <w:p w14:paraId="4D33430B" w14:textId="77777777" w:rsidR="00DF45C1" w:rsidRPr="008B6C93" w:rsidRDefault="00DF45C1" w:rsidP="00374014">
      <w:pPr>
        <w:rPr>
          <w:rFonts w:cs="Arial"/>
        </w:rPr>
      </w:pPr>
    </w:p>
    <w:p w14:paraId="69544E13" w14:textId="77777777" w:rsidR="00BA2940" w:rsidRPr="008B6C93" w:rsidRDefault="00BA2940" w:rsidP="00BA2940">
      <w:pPr>
        <w:pStyle w:val="Heading1"/>
        <w:rPr>
          <w:rFonts w:ascii="Arial" w:hAnsi="Arial" w:cs="Arial"/>
          <w:sz w:val="22"/>
          <w:szCs w:val="22"/>
        </w:rPr>
      </w:pPr>
      <w:r w:rsidRPr="008B6C93">
        <w:rPr>
          <w:rFonts w:ascii="Arial" w:hAnsi="Arial" w:cs="Arial"/>
          <w:sz w:val="22"/>
          <w:szCs w:val="22"/>
        </w:rPr>
        <w:lastRenderedPageBreak/>
        <w:t>Comparative Benchmarking</w:t>
      </w:r>
    </w:p>
    <w:p w14:paraId="624416E7" w14:textId="77777777" w:rsidR="00BA2940" w:rsidRPr="008B6C93" w:rsidRDefault="00BA2940" w:rsidP="00BA2940">
      <w:pPr>
        <w:rPr>
          <w:rFonts w:cs="Arial"/>
        </w:rPr>
        <w:keepNext/>
      </w:pPr>
      <w:r w:rsidRPr="008B6C93">
        <w:rPr>
          <w:rFonts w:cs="Arial"/>
        </w:rPr>
        <w:t xml:space="preserve">The comparators inform content and assessment design. Foreign levels, credit </w:t>
      </w:r>
      <w:proofErr w:type="gramStart"/>
      <w:r w:rsidRPr="008B6C93">
        <w:rPr>
          <w:rFonts w:cs="Arial"/>
        </w:rPr>
        <w:t>values</w:t>
      </w:r>
      <w:proofErr w:type="gramEnd"/>
      <w:r w:rsidRPr="008B6C93">
        <w:rPr>
          <w:rFonts w:cs="Arial"/>
        </w:rPr>
        <w:t xml:space="preserve"> and occupational privileges are not treated as equivalent to this proposed Namibian qualification.</w:t>
      </w:r>
    </w:p>
    <w:tbl>
      <w:tblPr>
        <w:tblStyle w:val="TableGrid"/>
        <w:tblLook w:val="04A0" w:firstRow="1" w:lastRow="0" w:firstColumn="1" w:lastColumn="0" w:noHBand="0" w:noVBand="1"/>
        <w:tblW w:w="0" w:type="auto"/>
        <w:tblInd w:w="108" w:type="dxa"/>
      </w:tblPr>
      <w:tblGrid>
        <w:gridCol w:w="1701"/>
        <w:gridCol w:w="3119"/>
        <w:gridCol w:w="2977"/>
        <w:gridCol w:w="2268"/>
        <w:gridCol w:w="5067"/>
      </w:tblGrid>
      <w:tr w:rsidR="00BA2940" w:rsidRPr="008B6C93" w14:paraId="328A2D6D" w14:textId="77777777" w:rsidTr="00BA2940">
        <w:trPr>
          <w:cantSplit/>
          <w:tblHeader/>
        </w:trPr>
        <w:tc>
          <w:tcPr>
            <w:tcW w:w="1701" w:type="dxa"/>
            <w:shd w:val="clear" w:color="auto" w:fill="D9D9D9" w:themeFill="background1" w:themeFillShade="D9"/>
            <w:vAlign w:val="center"/>
          </w:tcPr>
          <w:p w14:paraId="1FCA3176" w14:textId="628226F2" w:rsidR="00BA2940" w:rsidRPr="008B6C93" w:rsidRDefault="00BA2940" w:rsidP="00BA2940">
            <w:pPr>
              <w:rPr>
                <w:rFonts w:cs="Arial"/>
                <w:color w:val="000000" w:themeColor="text1"/>
              </w:rPr>
              <w:keepNext/>
            </w:pPr>
            <w:r w:rsidRPr="008B6C93">
              <w:rPr>
                <w:rFonts w:cs="Arial"/>
                <w:b/>
                <w:color w:val="000000" w:themeColor="text1"/>
              </w:rPr>
              <w:t>Context</w:t>
            </w:r>
          </w:p>
        </w:tc>
        <w:tc>
          <w:tcPr>
            <w:tcW w:w="3119" w:type="dxa"/>
            <w:shd w:val="clear" w:color="auto" w:fill="D9D9D9" w:themeFill="background1" w:themeFillShade="D9"/>
            <w:vAlign w:val="center"/>
          </w:tcPr>
          <w:p w14:paraId="2AD83BB5" w14:textId="00682825" w:rsidR="00BA2940" w:rsidRPr="008B6C93" w:rsidRDefault="00BA2940" w:rsidP="00BA2940">
            <w:pPr>
              <w:rPr>
                <w:rFonts w:cs="Arial"/>
                <w:color w:val="000000" w:themeColor="text1"/>
              </w:rPr>
              <w:keepNext/>
            </w:pPr>
            <w:r w:rsidRPr="008B6C93">
              <w:rPr>
                <w:rFonts w:cs="Arial"/>
                <w:b/>
                <w:color w:val="000000" w:themeColor="text1"/>
              </w:rPr>
              <w:t>Comparator and source</w:t>
            </w:r>
          </w:p>
        </w:tc>
        <w:tc>
          <w:tcPr>
            <w:tcW w:w="2977" w:type="dxa"/>
            <w:shd w:val="clear" w:color="auto" w:fill="D9D9D9" w:themeFill="background1" w:themeFillShade="D9"/>
            <w:vAlign w:val="center"/>
          </w:tcPr>
          <w:p w14:paraId="44775F4D" w14:textId="36D8BC47" w:rsidR="00BA2940" w:rsidRPr="008B6C93" w:rsidRDefault="00BA2940" w:rsidP="00BA2940">
            <w:pPr>
              <w:rPr>
                <w:rFonts w:cs="Arial"/>
                <w:color w:val="000000" w:themeColor="text1"/>
              </w:rPr>
              <w:keepNext/>
            </w:pPr>
            <w:r w:rsidRPr="008B6C93">
              <w:rPr>
                <w:rFonts w:cs="Arial"/>
                <w:b/>
                <w:color w:val="000000" w:themeColor="text1"/>
              </w:rPr>
              <w:t>Relevant features</w:t>
            </w:r>
          </w:p>
        </w:tc>
        <w:tc>
          <w:tcPr>
            <w:tcW w:w="2268" w:type="dxa"/>
            <w:shd w:val="clear" w:color="auto" w:fill="D9D9D9" w:themeFill="background1" w:themeFillShade="D9"/>
            <w:vAlign w:val="center"/>
          </w:tcPr>
          <w:p w14:paraId="328FF0EE" w14:textId="33BBC969"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71A99C6" w14:textId="462A8C4C" w:rsidR="00BA2940" w:rsidRPr="008B6C93" w:rsidRDefault="00BA2940" w:rsidP="00BA2940">
            <w:pPr>
              <w:rPr>
                <w:rFonts w:cs="Arial"/>
                <w:color w:val="000000" w:themeColor="text1"/>
              </w:rPr>
              <w:keepNext/>
            </w:pPr>
            <w:r w:rsidRPr="008B6C93">
              <w:rPr>
                <w:rFonts w:cs="Arial"/>
                <w:b/>
                <w:color w:val="000000" w:themeColor="text1"/>
              </w:rPr>
              <w:t>Adaptation and limits</w:t>
            </w:r>
          </w:p>
        </w:tc>
      </w:tr>
      <w:tr w:rsidR="00BA2940" w:rsidRPr="008B6C93" w14:paraId="6C979BF1" w14:textId="77777777" w:rsidTr="00BA2940">
        <w:trPr>
          <w:cantSplit/>
        </w:trPr>
        <w:tc>
          <w:tcPr>
            <w:tcW w:w="1701" w:type="dxa"/>
            <w:vAlign w:val="center"/>
          </w:tcPr>
          <w:p w14:paraId="79FD8908" w14:textId="1469DAAE" w:rsidR="00BA2940" w:rsidRPr="008B6C93" w:rsidRDefault="00BA2940" w:rsidP="00BA2940">
            <w:pPr>
              <w:rPr>
                <w:rFonts w:cs="Arial"/>
              </w:rPr>
              <w:jc w:val="both"/>
            </w:pPr>
            <w:r>
              <w:rPr>
                <w:rFonts w:cs="Arial"/>
              </w:rPr>
              <w:t xml:space="preserve">South Africa</w:t>
            </w:r>
          </w:p>
        </w:tc>
        <w:tc>
          <w:tcPr>
            <w:tcW w:w="3119" w:type="dxa"/>
            <w:vAlign w:val="center"/>
          </w:tcPr>
          <w:p w14:paraId="0E7F0154" w14:textId="0EB41BFB" w:rsidR="00BA2940" w:rsidRPr="008B6C93" w:rsidRDefault="00BA2940" w:rsidP="00BA2940">
            <w:pPr>
              <w:rPr>
                <w:rFonts w:cs="Arial"/>
              </w:rPr>
              <w:jc w:val="both"/>
            </w:pPr>
            <w:hyperlink r:id="rId54">
              <w:r>
                <w:rPr>
                  <w:rFonts w:cs="Arial"/>
                </w:rPr>
                <w:t>SAQA 124365 National Occupational Certificate: Mineral Beneficiation Process Controller, Level 4, 120 credits</w:t>
              </w:r>
            </w:hyperlink>
          </w:p>
        </w:tc>
        <w:tc>
          <w:tcPr>
            <w:tcW w:w="2977" w:type="dxa"/>
            <w:vAlign w:val="center"/>
          </w:tcPr>
          <w:p w14:paraId="3962ABF0" w14:textId="2EA22FD8" w:rsidR="00BA2940" w:rsidRPr="008B6C93" w:rsidRDefault="00BA2940" w:rsidP="00BA2940">
            <w:pPr>
              <w:rPr>
                <w:rFonts w:cs="Arial"/>
              </w:rPr>
              <w:jc w:val="both"/>
            </w:pPr>
            <w:r>
              <w:rPr>
                <w:rFonts w:cs="Arial"/>
              </w:rPr>
              <w:t xml:space="preserve">Registered 2025–2030. Coverage includes OHSE, plant monitoring/control, troubleshooting and production communication.</w:t>
            </w:r>
          </w:p>
        </w:tc>
        <w:tc>
          <w:tcPr>
            <w:tcW w:w="2268" w:type="dxa"/>
            <w:vAlign w:val="center"/>
          </w:tcPr>
          <w:p w14:paraId="196AE76A" w14:textId="1F124C22" w:rsidR="00BA2940" w:rsidRPr="008B6C93" w:rsidRDefault="00BA2940" w:rsidP="00BA2940">
            <w:pPr>
              <w:rPr>
                <w:rFonts w:cs="Arial"/>
              </w:rPr>
              <w:jc w:val="both"/>
            </w:pPr>
            <w:r>
              <w:rPr>
                <w:rFonts w:cs="Arial"/>
              </w:rPr>
              <w:t xml:space="preserve">M01, M03, M04, M05, M06, M07, M08</w:t>
            </w:r>
          </w:p>
        </w:tc>
        <w:tc>
          <w:tcPr>
            <w:tcW w:w="5067" w:type="dxa"/>
            <w:vAlign w:val="center"/>
          </w:tcPr>
          <w:p w14:paraId="353C7D17" w14:textId="1BFF85F3" w:rsidR="00BA2940" w:rsidRPr="008B6C93" w:rsidRDefault="00BA2940" w:rsidP="00BA2940">
            <w:pPr>
              <w:rPr>
                <w:rFonts w:cs="Arial"/>
              </w:rPr>
              <w:jc w:val="both"/>
            </w:pPr>
            <w:r>
              <w:rPr>
                <w:rFonts w:cs="Arial"/>
              </w:rPr>
              <w:t xml:space="preserve">Oranjemund College uses these domains to sequence introductory processing, separation and monitored simulation. Its 80-credit scope is narrower; no equivalence, trade status or automatic credit transfer is claimed.</w:t>
            </w:r>
          </w:p>
        </w:tc>
      </w:tr>
    </w:tbl>
    <w:p w14:paraId="6AE23700" w14:textId="77777777" w:rsidR="00BA2940" w:rsidRPr="008B6C93" w:rsidRDefault="00BA2940" w:rsidP="00BA2940">
      <w:pPr>
        <w:pStyle w:val="Heading1"/>
        <w:rPr>
          <w:rFonts w:ascii="Arial" w:hAnsi="Arial" w:cs="Arial"/>
          <w:sz w:val="22"/>
          <w:szCs w:val="22"/>
        </w:rPr>
        <w:keepNext/>
      </w:pPr>
      <w:r w:rsidRPr="008B6C93">
        <w:rPr>
          <w:rFonts w:ascii="Arial" w:hAnsi="Arial" w:cs="Arial"/>
          <w:sz w:val="22"/>
          <w:szCs w:val="22"/>
        </w:rPr>
        <w:t>Oranjemund and Regional Needs</w:t>
      </w:r>
    </w:p>
    <w:tbl>
      <w:tblPr>
        <w:tblStyle w:val="TableGrid"/>
        <w:tblLook w:val="04A0" w:firstRow="1" w:lastRow="0" w:firstColumn="1" w:lastColumn="0" w:noHBand="0" w:noVBand="1"/>
        <w:tblW w:w="0" w:type="auto"/>
        <w:tblInd w:w="108" w:type="dxa"/>
      </w:tblPr>
      <w:tblGrid>
        <w:gridCol w:w="3702"/>
        <w:gridCol w:w="3810"/>
        <w:gridCol w:w="2553"/>
        <w:gridCol w:w="5067"/>
      </w:tblGrid>
      <w:tr w:rsidR="00BA2940" w:rsidRPr="008B6C93" w14:paraId="2FDFB843" w14:textId="77777777" w:rsidTr="009D0658">
        <w:trPr>
          <w:cantSplit/>
          <w:tblHeader/>
        </w:trPr>
        <w:tc>
          <w:tcPr>
            <w:tcW w:w="3702" w:type="dxa"/>
            <w:shd w:val="clear" w:color="auto" w:fill="D9D9D9" w:themeFill="background1" w:themeFillShade="D9"/>
            <w:vAlign w:val="center"/>
          </w:tcPr>
          <w:p w14:paraId="20E70E69" w14:textId="0E89EDC3" w:rsidR="00BA2940" w:rsidRPr="008B6C93" w:rsidRDefault="00BA2940" w:rsidP="00BA2940">
            <w:pPr>
              <w:rPr>
                <w:rFonts w:cs="Arial"/>
                <w:color w:val="000000" w:themeColor="text1"/>
              </w:rPr>
              <w:keepNext/>
            </w:pPr>
            <w:r w:rsidRPr="008B6C93">
              <w:rPr>
                <w:rFonts w:cs="Arial"/>
                <w:b/>
                <w:color w:val="000000" w:themeColor="text1"/>
              </w:rPr>
              <w:t>Contextual need</w:t>
            </w:r>
          </w:p>
        </w:tc>
        <w:tc>
          <w:tcPr>
            <w:tcW w:w="3810" w:type="dxa"/>
            <w:shd w:val="clear" w:color="auto" w:fill="D9D9D9" w:themeFill="background1" w:themeFillShade="D9"/>
            <w:vAlign w:val="center"/>
          </w:tcPr>
          <w:p w14:paraId="5B20949B" w14:textId="1715341A" w:rsidR="00BA2940" w:rsidRPr="008B6C93" w:rsidRDefault="00BA2940" w:rsidP="00BA2940">
            <w:pPr>
              <w:rPr>
                <w:rFonts w:cs="Arial"/>
                <w:color w:val="000000" w:themeColor="text1"/>
              </w:rPr>
              <w:keepNext/>
            </w:pPr>
            <w:r w:rsidRPr="008B6C93">
              <w:rPr>
                <w:rFonts w:cs="Arial"/>
                <w:b/>
                <w:color w:val="000000" w:themeColor="text1"/>
              </w:rPr>
              <w:t>Evidence source</w:t>
            </w:r>
          </w:p>
        </w:tc>
        <w:tc>
          <w:tcPr>
            <w:tcW w:w="2553" w:type="dxa"/>
            <w:shd w:val="clear" w:color="auto" w:fill="D9D9D9" w:themeFill="background1" w:themeFillShade="D9"/>
            <w:vAlign w:val="center"/>
          </w:tcPr>
          <w:p w14:paraId="0BF1DC92" w14:textId="237C8EE8"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8A793D8" w14:textId="7C831C5D" w:rsidR="00BA2940" w:rsidRPr="008B6C93" w:rsidRDefault="00BA2940" w:rsidP="00BA2940">
            <w:pPr>
              <w:rPr>
                <w:rFonts w:cs="Arial"/>
                <w:color w:val="000000" w:themeColor="text1"/>
              </w:rPr>
              <w:keepNext/>
            </w:pPr>
            <w:r w:rsidRPr="008B6C93">
              <w:rPr>
                <w:rFonts w:cs="Arial"/>
                <w:b/>
                <w:color w:val="000000" w:themeColor="text1"/>
              </w:rPr>
              <w:t>Assessed learning response</w:t>
            </w:r>
          </w:p>
        </w:tc>
      </w:tr>
      <w:tr w:rsidR="00BA2940" w:rsidRPr="008B6C93" w14:paraId="6C177CFC" w14:textId="77777777" w:rsidTr="009D0658">
        <w:trPr>
          <w:cantSplit/>
        </w:trPr>
        <w:tc>
          <w:tcPr>
            <w:tcW w:w="3702" w:type="dxa"/>
            <w:vAlign w:val="center"/>
          </w:tcPr>
          <w:p w14:paraId="34ACA04E" w14:textId="4CE423EE" w:rsidR="00BA2940" w:rsidRPr="008B6C93" w:rsidRDefault="00BA2940" w:rsidP="00BA2940">
            <w:pPr>
              <w:rPr>
                <w:rFonts w:cs="Arial"/>
              </w:rPr>
            </w:pPr>
            <w:r>
              <w:rPr>
                <w:rFonts w:cs="Arial"/>
              </w:rPr>
              <w:t xml:space="preserve">Transferable processing skills in a mining-linked town transition.</w:t>
            </w:r>
          </w:p>
        </w:tc>
        <w:tc>
          <w:tcPr>
            <w:tcW w:w="3810" w:type="dxa"/>
            <w:vAlign w:val="center"/>
          </w:tcPr>
          <w:p w14:paraId="5D8EB27E" w14:textId="67433CF2" w:rsidR="00BA2940" w:rsidRPr="008B6C93" w:rsidRDefault="00BA2940" w:rsidP="00BA2940">
            <w:pPr>
              <w:rPr>
                <w:rFonts w:cs="Arial"/>
              </w:rPr>
            </w:pPr>
            <w:hyperlink r:id="rId55">
              <w:r>
                <w:rPr>
                  <w:rFonts w:cs="Arial"/>
                </w:rPr>
                <w:t>Oranjemund Town Council strategy and service guidance</w:t>
              </w:r>
            </w:hyperlink>
          </w:p>
        </w:tc>
        <w:tc>
          <w:tcPr>
            <w:tcW w:w="2553" w:type="dxa"/>
            <w:vAlign w:val="center"/>
          </w:tcPr>
          <w:p w14:paraId="466263AA" w14:textId="198607CD" w:rsidR="00BA2940" w:rsidRPr="008B6C93" w:rsidRDefault="00BA2940" w:rsidP="00BA2940">
            <w:pPr>
              <w:rPr>
                <w:rFonts w:cs="Arial"/>
              </w:rPr>
            </w:pPr>
            <w:r>
              <w:rPr>
                <w:rFonts w:cs="Arial"/>
              </w:rPr>
              <w:t xml:space="preserve">M03, M05, M06, M07, M08</w:t>
            </w:r>
          </w:p>
        </w:tc>
        <w:tc>
          <w:tcPr>
            <w:tcW w:w="5067" w:type="dxa"/>
            <w:vAlign w:val="center"/>
          </w:tcPr>
          <w:p w14:paraId="47964D12" w14:textId="45E60EED" w:rsidR="00BA2940" w:rsidRPr="008B6C93" w:rsidRDefault="00BA2940" w:rsidP="00BA2940">
            <w:pPr>
              <w:rPr>
                <w:rFonts w:cs="Arial"/>
              </w:rPr>
            </w:pPr>
            <w:r>
              <w:rPr>
                <w:rFonts w:cs="Arial"/>
              </w:rPr>
              <w:t xml:space="preserve">Assess a simulated sampling record, mass-balance/recovery calculation and process-quality deviation report; connect resource losses to environmental controls.</w:t>
            </w:r>
          </w:p>
        </w:tc>
      </w:tr>
    </w:tbl>
    <w:p w14:paraId="730E0EBC"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National and Sector Policy Alignment</w:t>
      </w:r>
    </w:p>
    <w:tbl>
      <w:tblPr>
        <w:tblStyle w:val="TableGrid"/>
        <w:tblLook w:val="04A0" w:firstRow="1" w:lastRow="0" w:firstColumn="1" w:lastColumn="0" w:noHBand="0" w:noVBand="1"/>
        <w:tblW w:w="0" w:type="auto"/>
        <w:tblInd w:w="108" w:type="dxa"/>
      </w:tblPr>
      <w:tblGrid>
        <w:gridCol w:w="2977"/>
        <w:gridCol w:w="4535"/>
        <w:gridCol w:w="1702"/>
        <w:gridCol w:w="5918"/>
      </w:tblGrid>
      <w:tr w:rsidR="00BA2940" w:rsidRPr="008B6C93" w14:paraId="67318C23" w14:textId="77777777" w:rsidTr="00BA2940">
        <w:trPr>
          <w:cantSplit/>
          <w:tblHeader/>
        </w:trPr>
        <w:tc>
          <w:tcPr>
            <w:tcW w:w="2977" w:type="dxa"/>
            <w:shd w:val="clear" w:color="auto" w:fill="D9D9D9" w:themeFill="background1" w:themeFillShade="D9"/>
            <w:vAlign w:val="center"/>
          </w:tcPr>
          <w:p w14:paraId="28A1F241" w14:textId="5CBFF134" w:rsidR="00BA2940" w:rsidRPr="008B6C93" w:rsidRDefault="00BA2940" w:rsidP="00BA2940">
            <w:pPr>
              <w:rPr>
                <w:rFonts w:cs="Arial"/>
                <w:color w:val="000000" w:themeColor="text1"/>
              </w:rPr>
              <w:keepNext/>
            </w:pPr>
            <w:r w:rsidRPr="008B6C93">
              <w:rPr>
                <w:rFonts w:cs="Arial"/>
                <w:b/>
                <w:color w:val="000000" w:themeColor="text1"/>
              </w:rPr>
              <w:t>Policy or framework</w:t>
            </w:r>
          </w:p>
        </w:tc>
        <w:tc>
          <w:tcPr>
            <w:tcW w:w="4535" w:type="dxa"/>
            <w:shd w:val="clear" w:color="auto" w:fill="D9D9D9" w:themeFill="background1" w:themeFillShade="D9"/>
            <w:vAlign w:val="center"/>
          </w:tcPr>
          <w:p w14:paraId="67D77324" w14:textId="6A0E9874" w:rsidR="00BA2940" w:rsidRPr="008B6C93" w:rsidRDefault="00BA2940" w:rsidP="00BA2940">
            <w:pPr>
              <w:rPr>
                <w:rFonts w:cs="Arial"/>
                <w:color w:val="000000" w:themeColor="text1"/>
              </w:rPr>
              <w:keepNext/>
            </w:pPr>
            <w:r w:rsidRPr="008B6C93">
              <w:rPr>
                <w:rFonts w:cs="Arial"/>
                <w:b/>
                <w:color w:val="000000" w:themeColor="text1"/>
              </w:rPr>
              <w:t>Relevant priority or theme</w:t>
            </w:r>
          </w:p>
        </w:tc>
        <w:tc>
          <w:tcPr>
            <w:tcW w:w="1702" w:type="dxa"/>
            <w:shd w:val="clear" w:color="auto" w:fill="D9D9D9" w:themeFill="background1" w:themeFillShade="D9"/>
            <w:vAlign w:val="center"/>
          </w:tcPr>
          <w:p w14:paraId="4F690983" w14:textId="4CFB8BCE" w:rsidR="00BA2940" w:rsidRPr="008B6C93" w:rsidRDefault="00BA2940" w:rsidP="00BA2940">
            <w:pPr>
              <w:rPr>
                <w:rFonts w:cs="Arial"/>
                <w:color w:val="000000" w:themeColor="text1"/>
              </w:rPr>
              <w:keepNext/>
            </w:pPr>
            <w:r w:rsidRPr="008B6C93">
              <w:rPr>
                <w:rFonts w:cs="Arial"/>
                <w:b/>
                <w:color w:val="000000" w:themeColor="text1"/>
              </w:rPr>
              <w:t>Modules</w:t>
            </w:r>
          </w:p>
        </w:tc>
        <w:tc>
          <w:tcPr>
            <w:tcW w:w="5918" w:type="dxa"/>
            <w:shd w:val="clear" w:color="auto" w:fill="D9D9D9" w:themeFill="background1" w:themeFillShade="D9"/>
            <w:vAlign w:val="center"/>
          </w:tcPr>
          <w:p w14:paraId="0B9ED3D7" w14:textId="692F4CBA" w:rsidR="00BA2940" w:rsidRPr="008B6C93" w:rsidRDefault="00BA2940" w:rsidP="00BA2940">
            <w:pPr>
              <w:rPr>
                <w:rFonts w:cs="Arial"/>
                <w:color w:val="000000" w:themeColor="text1"/>
              </w:rPr>
              <w:keepNext/>
            </w:pPr>
            <w:r w:rsidRPr="008B6C93">
              <w:rPr>
                <w:rFonts w:cs="Arial"/>
                <w:b/>
                <w:color w:val="000000" w:themeColor="text1"/>
              </w:rPr>
              <w:t>Curriculum response</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6">
              <w:r>
                <w:rPr>
                  <w:rFonts w:cs="Arial"/>
                </w:rPr>
                <w:t>Namibia Vision 2030: Policy Framework for Long-Term National Development</w:t>
              </w:r>
            </w:hyperlink>
          </w:p>
          <w:p w14:paraId="72D9FAEC" w14:textId="569F752E" w:rsidR="00BA2940" w:rsidRPr="008B6C93" w:rsidRDefault="00BA2940" w:rsidP="00BA2940">
            <w:pPr>
              <w:rPr>
                <w:rFonts w:cs="Arial"/>
              </w:rPr>
              <w:jc w:val="both"/>
            </w:pPr>
            <w:hyperlink r:id="rId57">
              <w:r>
                <w:rPr>
                  <w:rFonts w:cs="Arial"/>
                </w:rPr>
                <w:t>NDP6 Goals and Desired Outcomes Booklet</w:t>
              </w:r>
            </w:hyperlink>
          </w:p>
          <w:p w14:paraId="72D9FAEC" w14:textId="569F752E" w:rsidR="00BA2940" w:rsidRPr="008B6C93" w:rsidRDefault="00BA2940" w:rsidP="00BA2940">
            <w:pPr>
              <w:rPr>
                <w:rFonts w:cs="Arial"/>
              </w:rPr>
              <w:jc w:val="both"/>
            </w:pPr>
            <w:hyperlink r:id="rId58">
              <w:r>
                <w:rPr>
                  <w:rFonts w:cs="Arial"/>
                </w:rPr>
                <w:t>NDP6 Policy Document</w:t>
              </w:r>
            </w:hyperlink>
          </w:p>
          <w:p w14:paraId="72D9FAEC" w14:textId="569F752E" w:rsidR="00BA2940" w:rsidRPr="008B6C93" w:rsidRDefault="00BA2940" w:rsidP="00BA2940">
            <w:pPr>
              <w:rPr>
                <w:rFonts w:cs="Arial"/>
              </w:rPr>
              <w:jc w:val="both"/>
            </w:pPr>
            <w:hyperlink r:id="rId59">
              <w:r>
                <w:rPr>
                  <w:rFonts w:cs="Arial"/>
                </w:rPr>
                <w:t>Ministry of Industries, Mines and Energy Strategic Plan 2025/26–2029/30</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NDP6 DO0119 and MIME SO2.2 support value-added mineral processing; Vision 2030 objectives iii/iv support productive technical skills.</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M05, M06, M07,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Assess a simulated sampling record, mass-balance/recovery calculation and process-quality deviation report; connect resource losses to environmental controls.</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60">
              <w:r>
                <w:rPr>
                  <w:rFonts w:cs="Arial"/>
                </w:rPr>
                <w:t>Environmental Management Act 7 of 2007</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Environmental Management Act, sections 2–3: environmental decision-making principles.</w:t>
            </w:r>
          </w:p>
        </w:tc>
        <w:tc>
          <w:tcPr>
            <w:tcW w:w="1702" w:type="dxa"/>
            <w:vAlign w:val="center"/>
          </w:tcPr>
          <w:p w14:paraId="45D58F26" w14:textId="65F382F4" w:rsidR="00BA2940" w:rsidRPr="008B6C93" w:rsidRDefault="00BA2940" w:rsidP="00BA2940">
            <w:pPr>
              <w:rPr>
                <w:rFonts w:cs="Arial"/>
              </w:rPr>
              <w:jc w:val="both"/>
            </w:pPr>
            <w:r>
              <w:rPr>
                <w:rFonts w:cs="Arial"/>
              </w:rPr>
              <w:t xml:space="preserve">M04,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Require identification of environmental effects and an authorised escalation route in the applied case; learners do not approve clearance or closure.</w:t>
            </w:r>
          </w:p>
        </w:tc>
      </w:tr>
    </w:tbl>
    <w:p w14:paraId="59FEE57E" w14:textId="77777777" w:rsidR="00BA2940" w:rsidRPr="008B6C93" w:rsidRDefault="00BA2940" w:rsidP="00BA2940">
      <w:pPr>
        <w:rPr>
          <w:rFonts w:cs="Arial"/>
        </w:rPr>
      </w:pPr>
    </w:p>
    <w:p w14:paraId="62A6643E" w14:textId="42991EA5" w:rsidR="00C65B51" w:rsidRPr="008B6C93" w:rsidRDefault="00C65B51">
      <w:pPr>
        <w:rPr>
          <w:rFonts w:cs="Arial"/>
        </w:rPr>
      </w:pPr>
    </w:p>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E47BC" w14:textId="77777777" w:rsidR="006B60C5" w:rsidRDefault="006B60C5">
      <w:pPr>
        <w:spacing w:after="0" w:line="240" w:lineRule="auto"/>
      </w:pPr>
      <w:r>
        <w:separator/>
      </w:r>
    </w:p>
  </w:endnote>
  <w:endnote w:type="continuationSeparator" w:id="0">
    <w:p w14:paraId="6166A140" w14:textId="77777777" w:rsidR="006B60C5" w:rsidRDefault="006B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16"/>
      </w:rPr>
      <w:t>Oranjemund College | Qualification structure</w:t>
    </w:r>
  </w:p>
  <w:p w14:paraId="174331D4" w14:textId="77777777" w:rsidR="00C65B51" w:rsidRDefault="00000000">
    <w:pPr>
      <w:pStyle w:val="Footer"/>
      <w:jc w:val="center"/>
    </w:pPr>
    <w:r>
      <w:fldChar w:fldCharType="begin"/>
    </w:r>
    <w:r>
      <w:instrText>PAGE</w:instrText>
    </w:r>
    <w:r>
      <w:fldChar w:fldCharType="separate"/>
    </w:r>
    <w:r w:rsidR="008F64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B9CC" w14:textId="77777777" w:rsidR="006B60C5" w:rsidRDefault="006B60C5">
      <w:pPr>
        <w:spacing w:after="0" w:line="240" w:lineRule="auto"/>
      </w:pPr>
      <w:r>
        <w:separator/>
      </w:r>
    </w:p>
  </w:footnote>
  <w:footnote w:type="continuationSeparator" w:id="0">
    <w:p w14:paraId="3BAEBC56" w14:textId="77777777" w:rsidR="006B60C5" w:rsidRDefault="006B60C5">
      <w:pPr>
        <w:spacing w:after="0" w:line="240" w:lineRule="auto"/>
      </w:pPr>
      <w: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Denotes the specific sub-category of learning within the broad field, ensuring accurate placement of the module in the NQF Classification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000000"/>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Pr>
  </w:style>
  <w:style w:type="paragraph" w:styleId="FootnoteText">
    <w:name w:val="footnote text"/>
    <w:basedOn w:val="Normal"/>
    <w:link w:val="FootnoteTextChar"/>
    <w:uiPriority w:val="99"/>
    <w:unhideWhenUsed/>
    <w:rsid w:val="008F64FC"/>
    <w:pPr>
      <w:spacing w:after="200" w:line="276" w:lineRule="auto"/>
    </w:pPr>
    <w:rPr>
      <w:rFonts w:ascii="Times New Roman" w:eastAsia="Times New Roman" w:hAnsi="Times New Roman" w:cs="Times New Roman"/>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Times New Roman" w:eastAsia="Times New Roman" w:hAnsi="Times New Roman" w:cs="Times New Roman"/>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Times" w:eastAsia="Calibri" w:hAnsi="Times" w:cs="Times"/>
      <w:color w:val="000000"/>
      <w:sz w:val="24"/>
      <w:szCs w:val="24"/>
      <w:lang w:val="en-NA"/>
    </w:rPr>
  </w:style>
  <w:style w:type="paragraph" w:customStyle="1" w:styleId="BodyA">
    <w:name w:val="Body A"/>
    <w:rsid w:val="00885E26"/>
    <w:pPr>
      <w:spacing w:after="100"/>
    </w:pPr>
    <w:rPr>
      <w:rFonts w:ascii="Trebuchet MS" w:eastAsia="Arial Unicode MS" w:hAnsi="Trebuchet MS" w:cs="Arial Unicode MS"/>
      <w:color w:val="000000"/>
      <w:sz w:val="20"/>
      <w:szCs w:val="20"/>
      <w:u w:color="000000"/>
    </w:rPr>
  </w:style>
  <w:style w:type="character" w:customStyle="1" w:styleId="None">
    <w:name w:val="None"/>
    <w:rsid w:val="00885E26"/>
  </w:style>
  <w:style w:type="paragraph" w:customStyle="1" w:styleId="p1">
    <w:name w:val="p1"/>
    <w:basedOn w:val="Normal"/>
    <w:rsid w:val="00885E26"/>
    <w:pPr>
      <w:spacing w:after="0" w:line="240" w:lineRule="auto"/>
    </w:pPr>
    <w:rPr>
      <w:rFonts w:ascii="Times New Roman" w:eastAsia="Times New Roman" w:hAnsi="Times New Roman" w:cs="Times New Roman"/>
      <w:sz w:val="17"/>
      <w:szCs w:val="17"/>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sco.org/en/articles/ai-competency-framework-students" TargetMode="External"/><Relationship Id="rId18" Type="http://schemas.openxmlformats.org/officeDocument/2006/relationships/hyperlink" Target="https://www.hse.gov.uk/simple-health-safety/risk/steps-needed-to-manage-risk.htm" TargetMode="External"/><Relationship Id="rId26" Type="http://schemas.openxmlformats.org/officeDocument/2006/relationships/hyperlink" Target="https://shop.elsevier.com/books/wills-mineral-processing-technology/wills/978-0-08-097053-0" TargetMode="External"/><Relationship Id="rId3" Type="http://schemas.openxmlformats.org/officeDocument/2006/relationships/styles" Target="styles.xml"/><Relationship Id="rId21" Type="http://schemas.openxmlformats.org/officeDocument/2006/relationships/hyperlink" Target="https://www.hse.gov.uk/simple-health-safety/risk/steps-needed-to-manage-risk.htm" TargetMode="External"/><Relationship Id="rId7" Type="http://schemas.openxmlformats.org/officeDocument/2006/relationships/endnotes" Target="endnotes.xml"/><Relationship Id="rId12" Type="http://schemas.openxmlformats.org/officeDocument/2006/relationships/hyperlink" Target="https://ecampusontario.pressbooks.pub/communicationatwork/" TargetMode="External"/><Relationship Id="rId17" Type="http://schemas.openxmlformats.org/officeDocument/2006/relationships/hyperlink" Target="https://shop.elsevier.com/books/wills-mineral-processing-technology/wills/978-0-08-097053-0" TargetMode="External"/><Relationship Id="rId25" Type="http://schemas.openxmlformats.org/officeDocument/2006/relationships/hyperlink" Target="https://www.ilo.org/topics-and-sectors/occupational-safety-and-health-guide-labour-inspectors-and-other/how-can-occupational-safety-and-health-be-managed/providing-super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lo.org/topics-and-sectors/occupational-safety-and-health-guide-labour-inspectors-and-other/how-can-occupational-safety-and-health-be-managed/providing-supervision" TargetMode="External"/><Relationship Id="rId20" Type="http://schemas.openxmlformats.org/officeDocument/2006/relationships/hyperlink" Target="https://shop.elsevier.com/books/wills-mineral-processing-technology/wills/978-0-08-097053-0" TargetMode="External"/><Relationship Id="rId29" Type="http://schemas.openxmlformats.org/officeDocument/2006/relationships/hyperlink" Target="https://shop.elsevier.com/books/wills-mineral-processing-technology/wills/978-0-08-09705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en/articles/ai-competency-framework-students" TargetMode="External"/><Relationship Id="rId24" Type="http://schemas.openxmlformats.org/officeDocument/2006/relationships/hyperlink" Target="https://www.hse.gov.uk/simple-health-safety/risk/steps-needed-to-manage-risk.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se.gov.uk/simple-health-safety/risk/steps-needed-to-manage-risk.htm" TargetMode="External"/><Relationship Id="rId23" Type="http://schemas.openxmlformats.org/officeDocument/2006/relationships/hyperlink" Target="https://shop.elsevier.com/books/wills-mineral-processing-technology/wills/978-0-08-097053-0" TargetMode="External"/><Relationship Id="rId28" Type="http://schemas.openxmlformats.org/officeDocument/2006/relationships/hyperlink" Target="https://www.ilo.org/topics-and-sectors/occupational-safety-and-health-guide-labour-inspectors-and-other/how-can-occupational-safety-and-health-be-managed/providing-supervision" TargetMode="External"/><Relationship Id="rId10" Type="http://schemas.openxmlformats.org/officeDocument/2006/relationships/hyperlink" Target="https://ecampusontario.pressbooks.pub/communicationatwork/" TargetMode="External"/><Relationship Id="rId19" Type="http://schemas.openxmlformats.org/officeDocument/2006/relationships/hyperlink" Target="https://www.ilo.org/topics-and-sectors/occupational-safety-and-health-guide-labour-inspectors-and-other/how-can-occupational-safety-and-health-be-managed/providing-supervision" TargetMode="External"/><Relationship Id="rId31" Type="http://schemas.openxmlformats.org/officeDocument/2006/relationships/hyperlink" Target="https://www.ilo.org/topics-and-sectors/occupational-safety-and-health-guide-labour-inspectors-and-other/how-can-occupational-safety-and-health-be-managed/providing-supervis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hop.elsevier.com/books/wills-mineral-processing-technology/wills/978-0-08-097053-0" TargetMode="External"/><Relationship Id="rId22" Type="http://schemas.openxmlformats.org/officeDocument/2006/relationships/hyperlink" Target="https://www.ilo.org/topics-and-sectors/occupational-safety-and-health-guide-labour-inspectors-and-other/how-can-occupational-safety-and-health-be-managed/providing-supervision" TargetMode="External"/><Relationship Id="rId27" Type="http://schemas.openxmlformats.org/officeDocument/2006/relationships/hyperlink" Target="https://www.hse.gov.uk/simple-health-safety/risk/steps-needed-to-manage-risk.htm" TargetMode="External"/><Relationship Id="rId30" Type="http://schemas.openxmlformats.org/officeDocument/2006/relationships/hyperlink" Target="https://www.hse.gov.uk/simple-health-safety/risk/steps-needed-to-manage-risk.htm" TargetMode="External"/><Relationship Id="rId8" Type="http://schemas.openxmlformats.org/officeDocument/2006/relationships/image" Target="media/image1.jpg"/><Relationship Id="rId34" Type="http://schemas.openxmlformats.org/officeDocument/2006/relationships/hyperlink" Target="https://www.vanschaiknet.com/catalogue/communicating-work/" TargetMode="External"/><Relationship Id="rId35" Type="http://schemas.openxmlformats.org/officeDocument/2006/relationships/hyperlink" Target="https://www.vanschaiknet.com/wp-content/uploads/2024/04/DIGITAL-CATALOGUE-2023.pdf" TargetMode="External"/><Relationship Id="rId36" Type="http://schemas.openxmlformats.org/officeDocument/2006/relationships/hyperlink" Target="https://openlibrary-repo.ecampusontario.ca/jspui/bitstream/123456789/557/15/Communication-at-Work-1550774380._print.pdf" TargetMode="External"/><Relationship Id="rId37" Type="http://schemas.openxmlformats.org/officeDocument/2006/relationships/hyperlink" Target="https://openstax.org/books/writing-guide/pages/1-unit-introduction" TargetMode="External"/><Relationship Id="rId38" Type="http://schemas.openxmlformats.org/officeDocument/2006/relationships/hyperlink" Target="https://unesdoc.unesco.org/ark:/48223/pf0000265552" TargetMode="External"/><Relationship Id="rId39" Type="http://schemas.openxmlformats.org/officeDocument/2006/relationships/hyperlink" Target="https://www.scielo.org.za/scielo.php?pid=S2957-79502025000300002&amp;script=sci_arttext" TargetMode="External"/><Relationship Id="rId40" Type="http://schemas.openxmlformats.org/officeDocument/2006/relationships/hyperlink" Target="https://books.libreoffice.org/en/GS248/GS24800-Preface.html" TargetMode="External"/><Relationship Id="rId41" Type="http://schemas.openxmlformats.org/officeDocument/2006/relationships/hyperlink" Target="https://www.unesco.org/en/articles/guidance-generative-ai-education-and-research" TargetMode="External"/><Relationship Id="rId42"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43" Type="http://schemas.openxmlformats.org/officeDocument/2006/relationships/hyperlink" Target="https://www.gov.za/sites/default/files/gcis_document/202009/43730gen513.pdf" TargetMode="External"/><Relationship Id="rId44" Type="http://schemas.openxmlformats.org/officeDocument/2006/relationships/hyperlink" Target="https://www.metso.com/globalassets/insights/ebooks/mo-basics-in-mineral-processing-handbook_lowres.pdf" TargetMode="External"/><Relationship Id="rId45" Type="http://schemas.openxmlformats.org/officeDocument/2006/relationships/hyperlink" Target="https://smemi.personifycloud.com/PersonifyEbusiness/Store/SME-Mineral-Processing--Extractive-Metallurgy-Handbook/ProductDetail/2829543" TargetMode="External"/><Relationship Id="rId46" Type="http://schemas.openxmlformats.org/officeDocument/2006/relationships/hyperlink" Target="https://the-eis.com/elibrary/sites/default/files/downloads/literature/Best%20Practice%20Guide%20in%20Mining%20Part%204_Mining%20and%20Processing%20Operations_2019.pdf" TargetMode="External"/><Relationship Id="rId47" Type="http://schemas.openxmlformats.org/officeDocument/2006/relationships/hyperlink" Target="https://doi.org/10.3390/min11050533" TargetMode="External"/><Relationship Id="rId48" Type="http://schemas.openxmlformats.org/officeDocument/2006/relationships/hyperlink" Target="https://chamberofmines.org.na/wp-content/uploads/2024/04/2023-Chamber-of-Mines-Annual-Review.-Final-Web.pdf" TargetMode="External"/><Relationship Id="rId49" Type="http://schemas.openxmlformats.org/officeDocument/2006/relationships/hyperlink" Target="https://www.ilo.org/resource/other/code-practice-safety-and-health-opencast-mines" TargetMode="External"/><Relationship Id="rId50" Type="http://schemas.openxmlformats.org/officeDocument/2006/relationships/hyperlink" Target="https://stacks.cdc.gov/view/cdc/76769" TargetMode="External"/><Relationship Id="rId51" Type="http://schemas.openxmlformats.org/officeDocument/2006/relationships/hyperlink" Target="https://hub.icmm.com/website/publications/pdfs/environmental-stewardship/2021/guidance_tailings-management.pdf" TargetMode="External"/><Relationship Id="rId52" Type="http://schemas.openxmlformats.org/officeDocument/2006/relationships/hyperlink" Target="https://mdpi-res.com/bookfiles/book/4263/Comminution_in_the_Minerals_Industry.pdf?v=1737857030" TargetMode="External"/><Relationship Id="rId53" Type="http://schemas.openxmlformats.org/officeDocument/2006/relationships/hyperlink" Target="https://www.iso.org/standard/83054.html" TargetMode="External"/><Relationship Id="rId54" Type="http://schemas.openxmlformats.org/officeDocument/2006/relationships/hyperlink" Target="https://regqs.saqa.org.za/viewQualification.php?id=124365" TargetMode="External"/><Relationship Id="rId55" Type="http://schemas.openxmlformats.org/officeDocument/2006/relationships/hyperlink" Target="https://www.oranjemund-tc.com/page/about-us/" TargetMode="External"/><Relationship Id="rId56" Type="http://schemas.openxmlformats.org/officeDocument/2006/relationships/hyperlink" Target="https://www.npc.gov.na/wp-content/uploads/2021/11/vision_2030.pdf" TargetMode="External"/><Relationship Id="rId57" Type="http://schemas.openxmlformats.org/officeDocument/2006/relationships/hyperlink" Target="https://www.npc.gov.na/wp-content/uploads/2025/07/NDP6-Booklet.pdf" TargetMode="External"/><Relationship Id="rId58" Type="http://schemas.openxmlformats.org/officeDocument/2006/relationships/hyperlink" Target="https://op.gov.na/documents/1697384/6465069/NDP6-Policy-Document.pdf/c4046436-f16c-ba9e-33d6-3263485e3522?t=1753189781465" TargetMode="External"/><Relationship Id="rId59" Type="http://schemas.openxmlformats.org/officeDocument/2006/relationships/hyperlink" Target="https://www.mme.gov.na/files/publications/534_MIME%20SP%202025_26%20-%202029_30.pdf" TargetMode="External"/><Relationship Id="rId60" Type="http://schemas.openxmlformats.org/officeDocument/2006/relationships/hyperlink" Target="https://meft.gov.na/files/downloads/749_Enivronmental%20Management%20Act%2020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23593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Mineral Processing Operations (Level 4) — Qualification Structure</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18</cp:revision>
  <dcterms:created xsi:type="dcterms:W3CDTF">2013-12-23T23:15:00Z</dcterms:created>
  <dcterms:modified xsi:type="dcterms:W3CDTF">2026-10-27T23:07:00Z</dcterms:modified>
  <cp:category/>
</cp:coreProperties>
</file>