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Mineral Processing Operations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Mineral Processing Operations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Manufacturing, Engineering and Technology</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OCOL-5020</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Properties and Process Principles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Safety and Environmental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MPSB-5105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Sampling and Process Mass Balances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MPSC-5206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Comminution and Classification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MPSE-5207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Separation Technologies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MPCT-5208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Instrumentation and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MPAR-5209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Asset Reliability and Production Coordination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MPIP-5210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Mineral Processing Improvement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67"/>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Properties and Process Principles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Safety and Environmental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MPSB-5105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Sampling and Process Mass Balances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MPSC-5206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Comminution and Classification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MPSE-5207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Separation Technologies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MPCT-5208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Instrumentation and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MPAR-5209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Asset Reliability and Production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Mineral Processing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Properties and Process Principles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Safety and Environmental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MPSB-5105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Sampling and Process Mass Balances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MPSC-5206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Comminution and Classification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MPSE-5207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Separation Technologies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MPCT-5208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Instrumentation and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MPAR-5209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Asset Reliability and Production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Mineral Processing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 MPSB-5105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Interpret mineral properties and process data to select suitable beneficiation methods.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Apply sampling and mass-balance methods to evaluate processing performance.</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Coordinate safe operating responses for routine and non-routine plant scenarios.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Assess recovery, water use and waste implications when proposing process improvements.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Use information systems and evidence-based communication to support accountable operational decisions.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Produce and defend an integrated process-improvement plan within defined operating and environmental limits.</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Properties and Process Principles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relationships between mineral properties and separation behaviour.</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Safety and Environmental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hazards associated with crushing, conveying, slurry and reagents.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MPSB-5105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Sampling and Process Mass Balances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Design a representative sampling schedule for a defined stream.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MPSC-5206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Comminution and Classification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breakage and classification mechanisms.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MPSE-5207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Mineral Separation Technologies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Compare gravity, flotation and magnetic separation principles.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MPSB-5105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MPCT-5208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Process Instrumentation and Control</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the functions and limitations of common process instruments.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MPAR-5209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Asset Reliability and Production Coordination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downtime and production data to identify loss patterns.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 MPSB-5105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MPIP-5210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Mineral Processing Improvement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Define a process problem and measurable improvement objectives.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MPSS-5104, MPSB-5105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Manufacturing, Engineering and Technology</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Mineral Processing Operations</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MPPR-5103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Mineral Properties and Process Principles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relationships between mineral properties and separation behaviour.</w:t>
            </w:r>
          </w:p>
          <w:p>
            <w:pPr>
              <w:tabs>
                <w:tab w:pos="170" w:val="left"/>
              </w:tabs>
              <w:spacing w:before="0" w:after="0"/>
              <w:ind w:left="170" w:hanging="170"/>
            </w:pPr>
            <w:r>
              <w:rPr>
                <w:rFonts w:ascii="Arial" w:hAnsi="Arial" w:eastAsia="Arial" w:cs="Arial"/>
                <w:b w:val="0"/>
                <w:sz w:val="20"/>
                <w:szCs w:val="20"/>
              </w:rPr>
              <w:t>•</w:t>
              <w:tab/>
              <w:t>Interpret a process-flow sheet and identify material transformations.</w:t>
            </w:r>
          </w:p>
          <w:p>
            <w:pPr>
              <w:tabs>
                <w:tab w:pos="170" w:val="left"/>
              </w:tabs>
              <w:spacing w:before="0" w:after="0"/>
              <w:ind w:left="170" w:hanging="170"/>
            </w:pPr>
            <w:r>
              <w:rPr>
                <w:rFonts w:ascii="Arial" w:hAnsi="Arial" w:eastAsia="Arial" w:cs="Arial"/>
                <w:b w:val="0"/>
                <w:sz w:val="20"/>
                <w:szCs w:val="20"/>
              </w:rPr>
              <w:t>•</w:t>
              <w:tab/>
              <w:t>Calculate grade, recovery and concentration ratios from supplied data.</w:t>
            </w:r>
          </w:p>
          <w:p>
            <w:pPr>
              <w:tabs>
                <w:tab w:pos="170" w:val="left"/>
              </w:tabs>
              <w:spacing w:before="0" w:after="0"/>
              <w:ind w:left="170" w:hanging="170"/>
            </w:pPr>
            <w:r>
              <w:rPr>
                <w:rFonts w:ascii="Arial" w:hAnsi="Arial" w:eastAsia="Arial" w:cs="Arial"/>
                <w:b w:val="0"/>
                <w:sz w:val="20"/>
                <w:szCs w:val="20"/>
              </w:rPr>
              <w:t>•</w:t>
              <w:tab/>
              <w:t>Select a processing route for a defined ore case and justify assumptions.</w:t>
            </w:r>
          </w:p>
          <w:p>
            <w:pPr>
              <w:tabs>
                <w:tab w:pos="170" w:val="left"/>
              </w:tabs>
              <w:spacing w:before="0" w:after="0"/>
              <w:ind w:left="170" w:hanging="170"/>
            </w:pPr>
            <w:r>
              <w:rPr>
                <w:rFonts w:ascii="Arial" w:hAnsi="Arial" w:eastAsia="Arial" w:cs="Arial"/>
                <w:b w:val="0"/>
                <w:sz w:val="20"/>
                <w:szCs w:val="20"/>
              </w:rPr>
              <w:t>•</w:t>
              <w:tab/>
              <w:t>Compare alternative routes against recovery, safety and resource constraints.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MPSS-5104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Process Safety and Environmental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hazards associated with crushing, conveying, slurry and reagents.</w:t>
            </w:r>
          </w:p>
          <w:p>
            <w:pPr>
              <w:tabs>
                <w:tab w:pos="170" w:val="left"/>
              </w:tabs>
              <w:spacing w:before="0" w:after="0"/>
              <w:ind w:left="170" w:hanging="170"/>
            </w:pPr>
            <w:r>
              <w:rPr>
                <w:rFonts w:ascii="Arial" w:hAnsi="Arial" w:eastAsia="Arial" w:cs="Arial"/>
                <w:b w:val="0"/>
                <w:sz w:val="20"/>
                <w:szCs w:val="20"/>
              </w:rPr>
              <w:t>•</w:t>
              <w:tab/>
              <w:t>Select controls using a hierarchy of risk reduction.</w:t>
            </w:r>
          </w:p>
          <w:p>
            <w:pPr>
              <w:tabs>
                <w:tab w:pos="170" w:val="left"/>
              </w:tabs>
              <w:spacing w:before="0" w:after="0"/>
              <w:ind w:left="170" w:hanging="170"/>
            </w:pPr>
            <w:r>
              <w:rPr>
                <w:rFonts w:ascii="Arial" w:hAnsi="Arial" w:eastAsia="Arial" w:cs="Arial"/>
                <w:b w:val="0"/>
                <w:sz w:val="20"/>
                <w:szCs w:val="20"/>
              </w:rPr>
              <w:t>•</w:t>
              <w:tab/>
              <w:t>Interpret permit and isolation requirements in a simulated task.</w:t>
            </w:r>
          </w:p>
          <w:p>
            <w:pPr>
              <w:tabs>
                <w:tab w:pos="170" w:val="left"/>
              </w:tabs>
              <w:spacing w:before="0" w:after="0"/>
              <w:ind w:left="170" w:hanging="170"/>
            </w:pPr>
            <w:r>
              <w:rPr>
                <w:rFonts w:ascii="Arial" w:hAnsi="Arial" w:eastAsia="Arial" w:cs="Arial"/>
                <w:b w:val="0"/>
                <w:sz w:val="20"/>
                <w:szCs w:val="20"/>
              </w:rPr>
              <w:t>•</w:t>
              <w:tab/>
              <w:t>Prepare a response to a spill or process upset within defined authority.</w:t>
            </w:r>
          </w:p>
          <w:p>
            <w:pPr>
              <w:tabs>
                <w:tab w:pos="170" w:val="left"/>
              </w:tabs>
              <w:spacing w:before="0" w:after="0"/>
              <w:ind w:left="170" w:hanging="170"/>
            </w:pPr>
            <w:r>
              <w:rPr>
                <w:rFonts w:ascii="Arial" w:hAnsi="Arial" w:eastAsia="Arial" w:cs="Arial"/>
                <w:b w:val="0"/>
                <w:sz w:val="20"/>
                <w:szCs w:val="20"/>
              </w:rPr>
              <w:t>•</w:t>
              <w:tab/>
              <w:t>Evaluate water and waste controls against a supplied operational plan.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MPSB-5105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Sampling and Process Mass Balances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Design a representative sampling schedule for a defined stream.</w:t>
            </w:r>
          </w:p>
          <w:p>
            <w:pPr>
              <w:tabs>
                <w:tab w:pos="170" w:val="left"/>
              </w:tabs>
              <w:spacing w:before="0" w:after="0"/>
              <w:ind w:left="170" w:hanging="170"/>
            </w:pPr>
            <w:r>
              <w:rPr>
                <w:rFonts w:ascii="Arial" w:hAnsi="Arial" w:eastAsia="Arial" w:cs="Arial"/>
                <w:b w:val="0"/>
                <w:sz w:val="20"/>
                <w:szCs w:val="20"/>
              </w:rPr>
              <w:t>•</w:t>
              <w:tab/>
              <w:t>Apply sample identification and preparation controls in a supervised setting.</w:t>
            </w:r>
          </w:p>
          <w:p>
            <w:pPr>
              <w:tabs>
                <w:tab w:pos="170" w:val="left"/>
              </w:tabs>
              <w:spacing w:before="0" w:after="0"/>
              <w:ind w:left="170" w:hanging="170"/>
            </w:pPr>
            <w:r>
              <w:rPr>
                <w:rFonts w:ascii="Arial" w:hAnsi="Arial" w:eastAsia="Arial" w:cs="Arial"/>
                <w:b w:val="0"/>
                <w:sz w:val="20"/>
                <w:szCs w:val="20"/>
              </w:rPr>
              <w:t>•</w:t>
              <w:tab/>
              <w:t>Calculate steady-state solids and water balances.</w:t>
            </w:r>
          </w:p>
          <w:p>
            <w:pPr>
              <w:tabs>
                <w:tab w:pos="170" w:val="left"/>
              </w:tabs>
              <w:spacing w:before="0" w:after="0"/>
              <w:ind w:left="170" w:hanging="170"/>
            </w:pPr>
            <w:r>
              <w:rPr>
                <w:rFonts w:ascii="Arial" w:hAnsi="Arial" w:eastAsia="Arial" w:cs="Arial"/>
                <w:b w:val="0"/>
                <w:sz w:val="20"/>
                <w:szCs w:val="20"/>
              </w:rPr>
              <w:t>•</w:t>
              <w:tab/>
              <w:t>Identify measurement errors using reconciliation and quality checks.</w:t>
            </w:r>
          </w:p>
          <w:p>
            <w:pPr>
              <w:tabs>
                <w:tab w:pos="170" w:val="left"/>
              </w:tabs>
              <w:spacing w:before="0" w:after="0"/>
              <w:ind w:left="170" w:hanging="170"/>
            </w:pPr>
            <w:r>
              <w:rPr>
                <w:rFonts w:ascii="Arial" w:hAnsi="Arial" w:eastAsia="Arial" w:cs="Arial"/>
                <w:b w:val="0"/>
                <w:sz w:val="20"/>
                <w:szCs w:val="20"/>
              </w:rPr>
              <w:t>•</w:t>
              <w:tab/>
              <w:t>Report uncertainty and recommend further sampling before an operating decision.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MPSC-5206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Comminution and Classification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breakage and classification mechanisms.</w:t>
            </w:r>
          </w:p>
          <w:p>
            <w:pPr>
              <w:tabs>
                <w:tab w:pos="170" w:val="left"/>
              </w:tabs>
              <w:spacing w:before="0" w:after="0"/>
              <w:ind w:left="170" w:hanging="170"/>
            </w:pPr>
            <w:r>
              <w:rPr>
                <w:rFonts w:ascii="Arial" w:hAnsi="Arial" w:eastAsia="Arial" w:cs="Arial"/>
                <w:b w:val="0"/>
                <w:sz w:val="20"/>
                <w:szCs w:val="20"/>
              </w:rPr>
              <w:t>•</w:t>
              <w:tab/>
              <w:t>Interpret size distributions and calculate product-size indicators.</w:t>
            </w:r>
          </w:p>
          <w:p>
            <w:pPr>
              <w:tabs>
                <w:tab w:pos="170" w:val="left"/>
              </w:tabs>
              <w:spacing w:before="0" w:after="0"/>
              <w:ind w:left="170" w:hanging="170"/>
            </w:pPr>
            <w:r>
              <w:rPr>
                <w:rFonts w:ascii="Arial" w:hAnsi="Arial" w:eastAsia="Arial" w:cs="Arial"/>
                <w:b w:val="0"/>
                <w:sz w:val="20"/>
                <w:szCs w:val="20"/>
              </w:rPr>
              <w:t>•</w:t>
              <w:tab/>
              <w:t>Select crusher, mill and classifier settings for a supplied case.</w:t>
            </w:r>
          </w:p>
          <w:p>
            <w:pPr>
              <w:tabs>
                <w:tab w:pos="170" w:val="left"/>
              </w:tabs>
              <w:spacing w:before="0" w:after="0"/>
              <w:ind w:left="170" w:hanging="170"/>
            </w:pPr>
            <w:r>
              <w:rPr>
                <w:rFonts w:ascii="Arial" w:hAnsi="Arial" w:eastAsia="Arial" w:cs="Arial"/>
                <w:b w:val="0"/>
                <w:sz w:val="20"/>
                <w:szCs w:val="20"/>
              </w:rPr>
              <w:t>•</w:t>
              <w:tab/>
              <w:t>Diagnose a classification deviation from trend data.</w:t>
            </w:r>
          </w:p>
          <w:p>
            <w:pPr>
              <w:tabs>
                <w:tab w:pos="170" w:val="left"/>
              </w:tabs>
              <w:spacing w:before="0" w:after="0"/>
              <w:ind w:left="170" w:hanging="170"/>
            </w:pPr>
            <w:r>
              <w:rPr>
                <w:rFonts w:ascii="Arial" w:hAnsi="Arial" w:eastAsia="Arial" w:cs="Arial"/>
                <w:b w:val="0"/>
                <w:sz w:val="20"/>
                <w:szCs w:val="20"/>
              </w:rPr>
              <w:t>•</w:t>
              <w:tab/>
              <w:t>Recommend a bounded adjustment with safety checks and verification measures.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MPPR-5103, MPSS-5104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MPSE-5207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Mineral Separation Technologies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Compare gravity, flotation and magnetic separation principles.</w:t>
            </w:r>
          </w:p>
          <w:p>
            <w:pPr>
              <w:tabs>
                <w:tab w:pos="170" w:val="left"/>
              </w:tabs>
              <w:spacing w:before="0" w:after="0"/>
              <w:ind w:left="170" w:hanging="170"/>
            </w:pPr>
            <w:r>
              <w:rPr>
                <w:rFonts w:ascii="Arial" w:hAnsi="Arial" w:eastAsia="Arial" w:cs="Arial"/>
                <w:b w:val="0"/>
                <w:sz w:val="20"/>
                <w:szCs w:val="20"/>
              </w:rPr>
              <w:t>•</w:t>
              <w:tab/>
              <w:t>Select a separation method using mineral and feed data.</w:t>
            </w:r>
          </w:p>
          <w:p>
            <w:pPr>
              <w:tabs>
                <w:tab w:pos="170" w:val="left"/>
              </w:tabs>
              <w:spacing w:before="0" w:after="0"/>
              <w:ind w:left="170" w:hanging="170"/>
            </w:pPr>
            <w:r>
              <w:rPr>
                <w:rFonts w:ascii="Arial" w:hAnsi="Arial" w:eastAsia="Arial" w:cs="Arial"/>
                <w:b w:val="0"/>
                <w:sz w:val="20"/>
                <w:szCs w:val="20"/>
              </w:rPr>
              <w:t>•</w:t>
              <w:tab/>
              <w:t>Calculate stage recovery and concentrate quality.</w:t>
            </w:r>
          </w:p>
          <w:p>
            <w:pPr>
              <w:tabs>
                <w:tab w:pos="170" w:val="left"/>
              </w:tabs>
              <w:spacing w:before="0" w:after="0"/>
              <w:ind w:left="170" w:hanging="170"/>
            </w:pPr>
            <w:r>
              <w:rPr>
                <w:rFonts w:ascii="Arial" w:hAnsi="Arial" w:eastAsia="Arial" w:cs="Arial"/>
                <w:b w:val="0"/>
                <w:sz w:val="20"/>
                <w:szCs w:val="20"/>
              </w:rPr>
              <w:t>•</w:t>
              <w:tab/>
              <w:t>Interpret supervised test results and identify process limitations.</w:t>
            </w:r>
          </w:p>
          <w:p>
            <w:pPr>
              <w:tabs>
                <w:tab w:pos="170" w:val="left"/>
              </w:tabs>
              <w:spacing w:before="0" w:after="0"/>
              <w:ind w:left="170" w:hanging="170"/>
            </w:pPr>
            <w:r>
              <w:rPr>
                <w:rFonts w:ascii="Arial" w:hAnsi="Arial" w:eastAsia="Arial" w:cs="Arial"/>
                <w:b w:val="0"/>
                <w:sz w:val="20"/>
                <w:szCs w:val="20"/>
              </w:rPr>
              <w:t>•</w:t>
              <w:tab/>
              <w:t>Recommend a test-based separation improvement without exceeding laboratory evidence.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MPPR-5103, MPSB-5105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MPCT-5208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Process Instrumentation and Control</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the functions and limitations of common process instruments.</w:t>
            </w:r>
          </w:p>
          <w:p>
            <w:pPr>
              <w:tabs>
                <w:tab w:pos="170" w:val="left"/>
              </w:tabs>
              <w:spacing w:before="0" w:after="0"/>
              <w:ind w:left="170" w:hanging="170"/>
            </w:pPr>
            <w:r>
              <w:rPr>
                <w:rFonts w:ascii="Arial" w:hAnsi="Arial" w:eastAsia="Arial" w:cs="Arial"/>
                <w:b w:val="0"/>
                <w:sz w:val="20"/>
                <w:szCs w:val="20"/>
              </w:rPr>
              <w:t>•</w:t>
              <w:tab/>
              <w:t>Interpret trends, alarms and control-loop diagrams.</w:t>
            </w:r>
          </w:p>
          <w:p>
            <w:pPr>
              <w:tabs>
                <w:tab w:pos="170" w:val="left"/>
              </w:tabs>
              <w:spacing w:before="0" w:after="0"/>
              <w:ind w:left="170" w:hanging="170"/>
            </w:pPr>
            <w:r>
              <w:rPr>
                <w:rFonts w:ascii="Arial" w:hAnsi="Arial" w:eastAsia="Arial" w:cs="Arial"/>
                <w:b w:val="0"/>
                <w:sz w:val="20"/>
                <w:szCs w:val="20"/>
              </w:rPr>
              <w:t>•</w:t>
              <w:tab/>
              <w:t>Validate an anomalous reading against independent evidence.</w:t>
            </w:r>
          </w:p>
          <w:p>
            <w:pPr>
              <w:tabs>
                <w:tab w:pos="170" w:val="left"/>
              </w:tabs>
              <w:spacing w:before="0" w:after="0"/>
              <w:ind w:left="170" w:hanging="170"/>
            </w:pPr>
            <w:r>
              <w:rPr>
                <w:rFonts w:ascii="Arial" w:hAnsi="Arial" w:eastAsia="Arial" w:cs="Arial"/>
                <w:b w:val="0"/>
                <w:sz w:val="20"/>
                <w:szCs w:val="20"/>
              </w:rPr>
              <w:t>•</w:t>
              <w:tab/>
              <w:t>Select an appropriate response to a simulated control deviation.</w:t>
            </w:r>
          </w:p>
          <w:p>
            <w:pPr>
              <w:tabs>
                <w:tab w:pos="170" w:val="left"/>
              </w:tabs>
              <w:spacing w:before="0" w:after="0"/>
              <w:ind w:left="170" w:hanging="170"/>
            </w:pPr>
            <w:r>
              <w:rPr>
                <w:rFonts w:ascii="Arial" w:hAnsi="Arial" w:eastAsia="Arial" w:cs="Arial"/>
                <w:b w:val="0"/>
                <w:sz w:val="20"/>
                <w:szCs w:val="20"/>
              </w:rPr>
              <w:t>•</w:t>
              <w:tab/>
              <w:t>Document escalation and verification before recommending a return to normal operation.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MPPR-5103, MPSS-5104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MPAR-5209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Asset Reliability and Production Coordination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downtime and production data to identify loss patterns.</w:t>
            </w:r>
          </w:p>
          <w:p>
            <w:pPr>
              <w:tabs>
                <w:tab w:pos="170" w:val="left"/>
              </w:tabs>
              <w:spacing w:before="0" w:after="0"/>
              <w:ind w:left="170" w:hanging="170"/>
            </w:pPr>
            <w:r>
              <w:rPr>
                <w:rFonts w:ascii="Arial" w:hAnsi="Arial" w:eastAsia="Arial" w:cs="Arial"/>
                <w:b w:val="0"/>
                <w:sz w:val="20"/>
                <w:szCs w:val="20"/>
              </w:rPr>
              <w:t>•</w:t>
              <w:tab/>
              <w:t>Prepare a maintenance-priority recommendation using risk and availability.</w:t>
            </w:r>
          </w:p>
          <w:p>
            <w:pPr>
              <w:tabs>
                <w:tab w:pos="170" w:val="left"/>
              </w:tabs>
              <w:spacing w:before="0" w:after="0"/>
              <w:ind w:left="170" w:hanging="170"/>
            </w:pPr>
            <w:r>
              <w:rPr>
                <w:rFonts w:ascii="Arial" w:hAnsi="Arial" w:eastAsia="Arial" w:cs="Arial"/>
                <w:b w:val="0"/>
                <w:sz w:val="20"/>
                <w:szCs w:val="20"/>
              </w:rPr>
              <w:t>•</w:t>
              <w:tab/>
              <w:t>Coordinate a shift plan within equipment and staffing constraints.</w:t>
            </w:r>
          </w:p>
          <w:p>
            <w:pPr>
              <w:tabs>
                <w:tab w:pos="170" w:val="left"/>
              </w:tabs>
              <w:spacing w:before="0" w:after="0"/>
              <w:ind w:left="170" w:hanging="170"/>
            </w:pPr>
            <w:r>
              <w:rPr>
                <w:rFonts w:ascii="Arial" w:hAnsi="Arial" w:eastAsia="Arial" w:cs="Arial"/>
                <w:b w:val="0"/>
                <w:sz w:val="20"/>
                <w:szCs w:val="20"/>
              </w:rPr>
              <w:t>•</w:t>
              <w:tab/>
              <w:t>Calculate performance indicators with stated data limitations.</w:t>
            </w:r>
          </w:p>
          <w:p>
            <w:pPr>
              <w:tabs>
                <w:tab w:pos="170" w:val="left"/>
              </w:tabs>
              <w:spacing w:before="0" w:after="0"/>
              <w:ind w:left="170" w:hanging="170"/>
            </w:pPr>
            <w:r>
              <w:rPr>
                <w:rFonts w:ascii="Arial" w:hAnsi="Arial" w:eastAsia="Arial" w:cs="Arial"/>
                <w:b w:val="0"/>
                <w:sz w:val="20"/>
                <w:szCs w:val="20"/>
              </w:rPr>
              <w:t>•</w:t>
              <w:tab/>
              <w:t>Produce an auditable handover and improvement action register.</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MPSS-5104, MPSB-5105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MPIP-5210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Mineral Processing Improvement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Define a process problem and measurable improvement objectives.</w:t>
            </w:r>
          </w:p>
          <w:p>
            <w:pPr>
              <w:tabs>
                <w:tab w:pos="170" w:val="left"/>
              </w:tabs>
              <w:spacing w:before="0" w:after="0"/>
              <w:ind w:left="170" w:hanging="170"/>
            </w:pPr>
            <w:r>
              <w:rPr>
                <w:rFonts w:ascii="Arial" w:hAnsi="Arial" w:eastAsia="Arial" w:cs="Arial"/>
                <w:b w:val="0"/>
                <w:sz w:val="20"/>
                <w:szCs w:val="20"/>
              </w:rPr>
              <w:t>•</w:t>
              <w:tab/>
              <w:t>Analyse supplied operating and sampling evidence.</w:t>
            </w:r>
          </w:p>
          <w:p>
            <w:pPr>
              <w:tabs>
                <w:tab w:pos="170" w:val="left"/>
              </w:tabs>
              <w:spacing w:before="0" w:after="0"/>
              <w:ind w:left="170" w:hanging="170"/>
            </w:pPr>
            <w:r>
              <w:rPr>
                <w:rFonts w:ascii="Arial" w:hAnsi="Arial" w:eastAsia="Arial" w:cs="Arial"/>
                <w:b w:val="0"/>
                <w:sz w:val="20"/>
                <w:szCs w:val="20"/>
              </w:rPr>
              <w:t>•</w:t>
              <w:tab/>
              <w:t>Compare feasible solutions using recovery, safety, cost and environmental criteria.</w:t>
            </w:r>
          </w:p>
          <w:p>
            <w:pPr>
              <w:tabs>
                <w:tab w:pos="170" w:val="left"/>
              </w:tabs>
              <w:spacing w:before="0" w:after="0"/>
              <w:ind w:left="170" w:hanging="170"/>
            </w:pPr>
            <w:r>
              <w:rPr>
                <w:rFonts w:ascii="Arial" w:hAnsi="Arial" w:eastAsia="Arial" w:cs="Arial"/>
                <w:b w:val="0"/>
                <w:sz w:val="20"/>
                <w:szCs w:val="20"/>
              </w:rPr>
              <w:t>•</w:t>
              <w:tab/>
              <w:t>Develop an implementation and monitoring plan within a stated authority boundary.</w:t>
            </w:r>
          </w:p>
          <w:p>
            <w:pPr>
              <w:tabs>
                <w:tab w:pos="170" w:val="left"/>
              </w:tabs>
              <w:spacing w:before="0" w:after="0"/>
              <w:ind w:left="170" w:hanging="170"/>
            </w:pPr>
            <w:r>
              <w:rPr>
                <w:rFonts w:ascii="Arial" w:hAnsi="Arial" w:eastAsia="Arial" w:cs="Arial"/>
                <w:b w:val="0"/>
                <w:sz w:val="20"/>
                <w:szCs w:val="20"/>
              </w:rPr>
              <w:t>•</w:t>
              <w:tab/>
              <w:t>Defend the recommendation orally and account for individual contributions.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MPPR-5103, MPSS-5104, MPSB-5105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MPPR-5103 – Mineral Properties and Process Principles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Flow-sheet interpretation, calculations and a justified ore-treatment case.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42">
              <w:r>
                <w:rPr>
                  <w:rFonts w:ascii="Arial" w:hAnsi="Arial" w:eastAsia="Arial" w:cs="Arial"/>
                  <w:sz w:val="20"/>
                  <w:szCs w:val="20"/>
                </w:rPr>
                <w:t>Corin, K. C., McFadzean, B. J., Shackleton, N. J., &amp; O’Connor, C. T. (2021). Challenges related to the processing of fines in the recovery of platinum group minerals (PGMs). Minerals, 11(5), Article 533. https://doi.org/10.3390/min11050533</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(Revised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MPSS-5104 – Process Safety and Environmental Control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Risk-control portfolio, permit simulation and environmental-upset exercise.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30">
              <w:r>
                <w:rPr>
                  <w:rFonts w:ascii="Arial" w:hAnsi="Arial" w:eastAsia="Arial" w:cs="Arial"/>
                  <w:sz w:val="20"/>
                  <w:szCs w:val="20"/>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(Revised ed.).</w:t>
              </w:r>
            </w:hyperlink>
          </w:p>
          <w:p>
            <w:pPr>
              <w:spacing w:after="40" w:line="240" w:lineRule="auto" w:before="40"/>
            </w:pPr>
            <w:hyperlink r:id="rId32">
              <w:r>
                <w:rPr>
                  <w:rFonts w:ascii="Arial" w:hAnsi="Arial" w:eastAsia="Arial" w:cs="Arial"/>
                  <w:sz w:val="20"/>
                  <w:szCs w:val="20"/>
                </w:rPr>
                <w:t>International Council on Mining and Metals. (2021). Tailings management: Good practice guide.</w:t>
              </w:r>
            </w:hyperlink>
          </w:p>
          <w:p>
            <w:pPr>
              <w:spacing w:after="40" w:line="240" w:lineRule="auto" w:before="40"/>
            </w:pPr>
            <w:hyperlink r:id="rId34">
              <w:r>
                <w:rPr>
                  <w:rFonts w:ascii="Arial" w:hAnsi="Arial" w:eastAsia="Arial" w:cs="Arial"/>
                  <w:sz w:val="20"/>
                  <w:szCs w:val="20"/>
                </w:rPr>
                <w:t>Metso Outotec. (2021). Basics in minerals processing (12th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MPSB-5105 – Sampling and Process Mass Balances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Sampling plan, supervised preparation record and reconciled mass-balance workbook.</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42">
              <w:r>
                <w:rPr>
                  <w:rFonts w:ascii="Arial" w:hAnsi="Arial" w:eastAsia="Arial" w:cs="Arial"/>
                  <w:sz w:val="20"/>
                  <w:szCs w:val="20"/>
                </w:rPr>
                <w:t>Corin, K. C., McFadzean, B. J., Shackleton, N. J., &amp; O’Connor, C. T. (2021). Challenges related to the processing of fines in the recovery of platinum group minerals (PGMs). Minerals, 11(5), Article 533. https://doi.org/10.3390/min11050533</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(Revised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MPSC-5206 – Comminution and Classification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Size-analysis exercise and comminution troubleshooting case.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42">
              <w:r>
                <w:rPr>
                  <w:rFonts w:ascii="Arial" w:hAnsi="Arial" w:eastAsia="Arial" w:cs="Arial"/>
                  <w:sz w:val="20"/>
                  <w:szCs w:val="20"/>
                </w:rPr>
                <w:t>Corin, K. C., McFadzean, B. J., Shackleton, N. J., &amp; O’Connor, C. T. (2021). Challenges related to the processing of fines in the recovery of platinum group minerals (PGMs). Minerals, 11(5), Article 533. https://doi.org/10.3390/min11050533</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38">
              <w:r>
                <w:rPr>
                  <w:rFonts w:ascii="Arial" w:hAnsi="Arial" w:eastAsia="Arial" w:cs="Arial"/>
                  <w:sz w:val="20"/>
                  <w:szCs w:val="20"/>
                </w:rPr>
                <w:t>Tavares, L. M. (Ed.). (2021). Comminution in the minerals industry. MDPI.</w:t>
              </w:r>
            </w:hyperlink>
          </w:p>
          <w:p>
            <w:pPr>
              <w:spacing w:after="40" w:line="240" w:lineRule="auto" w:before="40"/>
            </w:pPr>
            <w:hyperlink r:id="rId30">
              <w:r>
                <w:rPr>
                  <w:rFonts w:ascii="Arial" w:hAnsi="Arial" w:eastAsia="Arial" w:cs="Arial"/>
                  <w:sz w:val="20"/>
                  <w:szCs w:val="20"/>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MPSE-5207 – Mineral Separation Technologies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Method-selection report and interpretation of controlled test datasets.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42">
              <w:r>
                <w:rPr>
                  <w:rFonts w:ascii="Arial" w:hAnsi="Arial" w:eastAsia="Arial" w:cs="Arial"/>
                  <w:sz w:val="20"/>
                  <w:szCs w:val="20"/>
                </w:rPr>
                <w:t>Corin, K. C., McFadzean, B. J., Shackleton, N. J., &amp; O’Connor, C. T. (2021). Challenges related to the processing of fines in the recovery of platinum group minerals (PGMs). Minerals, 11(5), Article 533. https://doi.org/10.3390/min11050533</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32">
              <w:r>
                <w:rPr>
                  <w:rFonts w:ascii="Arial" w:hAnsi="Arial" w:eastAsia="Arial" w:cs="Arial"/>
                  <w:sz w:val="20"/>
                  <w:szCs w:val="20"/>
                </w:rPr>
                <w:t>International Council on Mining and Metals. (2021). Tailings management: Good practice guide.</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MPCT-5208 – Process Instrumentation and Control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Control-room simulation log, trend analysis and response justification.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50">
              <w:r>
                <w:rPr>
                  <w:rFonts w:ascii="Arial" w:hAnsi="Arial" w:eastAsia="Arial" w:cs="Arial"/>
                  <w:sz w:val="20"/>
                  <w:szCs w:val="20"/>
                </w:rPr>
                <w:t>International Organization for Standardization. (2024). Asset management—Asset management system—Requirements (ISO Standard No. 55001:2024).</w:t>
              </w:r>
            </w:hyperlink>
          </w:p>
          <w:p>
            <w:pPr>
              <w:spacing w:after="40" w:line="240" w:lineRule="auto" w:before="40"/>
            </w:pPr>
            <w:hyperlink r:id="rId30">
              <w:r>
                <w:rPr>
                  <w:rFonts w:ascii="Arial" w:hAnsi="Arial" w:eastAsia="Arial" w:cs="Arial"/>
                  <w:sz w:val="20"/>
                  <w:szCs w:val="20"/>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MPAR-5209 – Asset Reliability and Production Coordination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Maintenance-priority case, shift plan and performance dashboard.</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50">
              <w:r>
                <w:rPr>
                  <w:rFonts w:ascii="Arial" w:hAnsi="Arial" w:eastAsia="Arial" w:cs="Arial"/>
                  <w:sz w:val="20"/>
                  <w:szCs w:val="20"/>
                </w:rPr>
                <w:t>International Organization for Standardization. (2024). Asset management—Asset management system—Requirements (ISO Standard No. 55001:2024).</w:t>
              </w:r>
            </w:hyperlink>
          </w:p>
          <w:p>
            <w:pPr>
              <w:spacing w:after="40" w:line="240" w:lineRule="auto" w:before="40"/>
            </w:pPr>
            <w:hyperlink r:id="rId30">
              <w:r>
                <w:rPr>
                  <w:rFonts w:ascii="Arial" w:hAnsi="Arial" w:eastAsia="Arial" w:cs="Arial"/>
                  <w:sz w:val="20"/>
                  <w:szCs w:val="20"/>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MPIP-5210 – Integrated Mineral Processing Improvement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integrated report and oral defence supported by an auditable workbook; team simulation permitted with separate individual assessment.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34">
              <w:r>
                <w:rPr>
                  <w:rFonts w:ascii="Arial" w:hAnsi="Arial" w:eastAsia="Arial" w:cs="Arial"/>
                  <w:sz w:val="20"/>
                  <w:szCs w:val="20"/>
                </w:rPr>
                <w:t>Metso Outotec. (2021). Basics in minerals processing (12th ed.).</w:t>
              </w:r>
            </w:hyperlink>
          </w:p>
          <w:p>
            <w:pPr>
              <w:spacing w:after="40" w:line="240" w:lineRule="auto" w:before="40"/>
            </w:pPr>
            <w:hyperlink r:id="rId47">
              <w:r>
                <w:rPr>
                  <w:rFonts w:ascii="Arial" w:hAnsi="Arial" w:eastAsia="Arial" w:cs="Arial"/>
                  <w:sz w:val="20"/>
                  <w:szCs w:val="20"/>
                </w:rPr>
                <w:t>Dunne, R. C., Kawatra, S. K., &amp; Young, C. A. (Eds.). (2019). SME mineral processing &amp; extractive metallurgy handbook. Society for Mining, Metallurgy &amp; Exploration.</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42">
              <w:r>
                <w:rPr>
                  <w:rFonts w:ascii="Arial" w:hAnsi="Arial" w:eastAsia="Arial" w:cs="Arial"/>
                  <w:sz w:val="20"/>
                  <w:szCs w:val="20"/>
                </w:rPr>
                <w:t>Corin, K. C., McFadzean, B. J., Shackleton, N. J., &amp; O’Connor, C. T. (2021). Challenges related to the processing of fines in the recovery of platinum group minerals (PGMs). Minerals, 11(5), Article 533. https://doi.org/10.3390/min11050533</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(Revised ed.).</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OCOL-5020</w:t>
            </w:r>
          </w:p>
        </w:tc>
        <w:tc>
          <w:tcPr>
            <w:tcW w:w="2977" w:type="dxa"/>
            <w:vAlign w:val="top"/>
          </w:tcPr>
          <w:p>
            <w:pPr>
              <w:spacing w:before="40" w:after="40" w:line="240" w:lineRule="auto"/>
              <w:jc w:val="left"/>
            </w:pPr>
            <w:r>
              <w:rPr>
                <w:rFonts w:ascii="Arial" w:hAnsi="Arial" w:eastAsia="Arial" w:cs="Arial"/>
                <w:b w:val="0"/>
                <w:sz w:val="20"/>
                <w:szCs w:val="20"/>
              </w:rPr>
              <w:t>South Africa: SAQA 124365: NQF 4; 120 credits. Knowledge 48, practical 32, work experience 40. Plant operation, monitoring and troubleshooting. Registered 2025–2030. Lower numbered level in a different framework; useful occupational-content comparator, not an equivalent diploma. Australia: RII50326: Diploma; 16 competency units: eight core and eight electives. No Namibian credit conversion. Facility-management orientation, risk, environment, water and process control. Current 2026 replacement for RII50315; broader managerial responsibility than this proposal. The College response retains the operational boundaries and uses an individual integrated project rather than claiming occupational equivalence.</w:t>
            </w:r>
          </w:p>
        </w:tc>
        <w:tc>
          <w:tcPr>
            <w:tcW w:w="2268" w:type="dxa"/>
            <w:vAlign w:val="top"/>
          </w:tcPr>
          <w:p>
            <w:pPr>
              <w:spacing w:before="40" w:after="40" w:line="240" w:lineRule="auto"/>
              <w:jc w:val="left"/>
            </w:pPr>
            <w:r>
              <w:rPr>
                <w:rFonts w:ascii="Arial" w:hAnsi="Arial" w:eastAsia="Arial" w:cs="Arial"/>
                <w:b w:val="0"/>
                <w:sz w:val="20"/>
                <w:szCs w:val="20"/>
              </w:rPr>
              <w:t>MPPR-5103, MPSS-5104, MPSB-5105, MPSC-5206, MPSE-5207, MPCT-5208, MPAR-5209, MPIP-5210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The case is for process-data interpretation and improvement capability, rather than training unrestricted plant operators. Oranjemund provides an identifiable mining context, but the programme should develop transferable process skills and avoid dependence on a single commodity or employer. Namdeb reports 647,181 carats produced in 2025 and describes dense-medium separation and X-ray sorting (Chamber of Mines of Namibia, 2026, pp. 55–56). Use mineral-separation and control cases grounded in diamond processing alongside other ores. Production is not evidence of graduate vacancies. The industry reports N$224 million in skills expenditure, including the VET levy, for 2025 (Chamber of Mines of Namibia, 2026, p. 4). Training expenditure supports an upskilling rationale; it does not establish demand for this particular award or fee level.</w:t>
            </w:r>
          </w:p>
        </w:tc>
        <w:tc>
          <w:tcPr>
            <w:tcW w:w="2553" w:type="dxa"/>
            <w:vAlign w:val="top"/>
          </w:tcPr>
          <w:p>
            <w:pPr>
              <w:spacing w:before="40" w:after="40" w:line="240" w:lineRule="auto"/>
              <w:jc w:val="left"/>
            </w:pPr>
            <w:r>
              <w:rPr>
                <w:rFonts w:ascii="Arial" w:hAnsi="Arial" w:eastAsia="Arial" w:cs="Arial"/>
                <w:b w:val="0"/>
                <w:sz w:val="20"/>
                <w:szCs w:val="20"/>
              </w:rPr>
              <w:t>MPPR-5103, MPSS-5104, MPSB-5105, MPSC-5206, MPSE-5207, MPCT-5208, MPAR-5209, MPIP-5210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Mineral Processing Operations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