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Occupational Health and Safety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Occupational Health and Safety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Health Sciences and Social Services</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OCOL-5021</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Safety Governance and Practice</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Hazard Identification and Risk Assessment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OSHM-5105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Hygiene and Health Monitoring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OSII-5206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Incident Investigation and Learning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OSEP-5207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Emergency Preparedness and Response Coordination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OSMS-5208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Management Systems and Internal Review</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OSTC-5209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Training and Worker Consultation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OSIP-5210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Occupational Safety Improvement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80"/>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Safety Governance and Practice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Hazard Identification and Risk Assessment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OSHM-5105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Hygiene and Health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OSII-5206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Incident Investigation and Learning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OSEP-5207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Emergency Preparedness and Response Coordination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 OSHM-5105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OSMS-5208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Management Systems and Internal Review</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OSRA-5104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OSTC-5209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Training and Worker Consultation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OSHM-5105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Occupational Safety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OSRA-5104, OSHM-5105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Safety Governance and Practice</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Hazard Identification and Risk Assessment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OSHM-5105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Hygiene and Health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OSII-5206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Incident Investigation and Learning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OSEP-5207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Emergency Preparedness and Response Coordination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 OSHM-5105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OSMS-5208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Management Systems and Internal Review</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OSRA-5104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OSTC-5209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Training and Worker Consultation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OSHM-5105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Occupational Safety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OSRA-5104, OSHM-5105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Interpret occupational safety responsibilities and organisational arrangements in supplied workplace contexts.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Assess hazards and recommend proportionate controls using documented evidence.</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Interpret exposure and incident information within the limits of the available data.</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Coordinate consultation, training and emergency preparedness activities.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Use secure information systems and clear reporting to monitor corrective actions.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Develop and defend an integrated occupational safety and health improvement plan.</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Safety Governance and Practice</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employer, worker and supervisory responsibilities in an assigned workplace case.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Hazard Identification and Risk Assessment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Identify interacting hazards across a task sequence.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OSHM-5105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Occupational Hygiene and Health Monitoring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exposure routes and health effects relevant to common workplace agents.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OSII-5206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Incident Investigation and Learning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Plan evidence collection for a simulated incident.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OSEP-5207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Emergency Preparedness and Response Coordination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credible emergency scenarios for a workplace.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 OSHM-5105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OSMS-5208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Management Systems and Internal Review</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planning, implementation, evaluation and improvement interact.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OSRA-5104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OSTC-5209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Safety Training and Worker Consultation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safety learning needs using task and incident evidence.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OSHM-5105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OSIP-5210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Occupational Safety Improvement Project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Define a workplace safety problem and investigation boundaries.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OSRA-5104, OSHM-5105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Health Sciences and Social Services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Occupational Health and Safety</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OSGP-5103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Occupational Safety Governance and Practice</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employer, worker and supervisory responsibilities in an assigned workplace case.</w:t>
            </w:r>
          </w:p>
          <w:p>
            <w:pPr>
              <w:tabs>
                <w:tab w:pos="170" w:val="left"/>
              </w:tabs>
              <w:spacing w:before="0" w:after="0"/>
              <w:ind w:left="170" w:hanging="170"/>
            </w:pPr>
            <w:r>
              <w:rPr>
                <w:rFonts w:ascii="Arial" w:hAnsi="Arial" w:eastAsia="Arial" w:cs="Arial"/>
                <w:b w:val="0"/>
                <w:sz w:val="20"/>
                <w:szCs w:val="20"/>
              </w:rPr>
              <w:t>•</w:t>
              <w:tab/>
              <w:t>Distinguish legal obligations, guidance and organisational procedures.</w:t>
            </w:r>
          </w:p>
          <w:p>
            <w:pPr>
              <w:tabs>
                <w:tab w:pos="170" w:val="left"/>
              </w:tabs>
              <w:spacing w:before="0" w:after="0"/>
              <w:ind w:left="170" w:hanging="170"/>
            </w:pPr>
            <w:r>
              <w:rPr>
                <w:rFonts w:ascii="Arial" w:hAnsi="Arial" w:eastAsia="Arial" w:cs="Arial"/>
                <w:b w:val="0"/>
                <w:sz w:val="20"/>
                <w:szCs w:val="20"/>
              </w:rPr>
              <w:t>•</w:t>
              <w:tab/>
              <w:t>Construct a compliance-obligation register from verified supplied instruments.</w:t>
            </w:r>
          </w:p>
          <w:p>
            <w:pPr>
              <w:tabs>
                <w:tab w:pos="170" w:val="left"/>
              </w:tabs>
              <w:spacing w:before="0" w:after="0"/>
              <w:ind w:left="170" w:hanging="170"/>
            </w:pPr>
            <w:r>
              <w:rPr>
                <w:rFonts w:ascii="Arial" w:hAnsi="Arial" w:eastAsia="Arial" w:cs="Arial"/>
                <w:b w:val="0"/>
                <w:sz w:val="20"/>
                <w:szCs w:val="20"/>
              </w:rPr>
              <w:t>•</w:t>
              <w:tab/>
              <w:t>Analyse consultation and reporting arrangements for a defined organisation.</w:t>
            </w:r>
          </w:p>
          <w:p>
            <w:pPr>
              <w:tabs>
                <w:tab w:pos="170" w:val="left"/>
              </w:tabs>
              <w:spacing w:before="0" w:after="0"/>
              <w:ind w:left="170" w:hanging="170"/>
            </w:pPr>
            <w:r>
              <w:rPr>
                <w:rFonts w:ascii="Arial" w:hAnsi="Arial" w:eastAsia="Arial" w:cs="Arial"/>
                <w:b w:val="0"/>
                <w:sz w:val="20"/>
                <w:szCs w:val="20"/>
              </w:rPr>
              <w:t>•</w:t>
              <w:tab/>
              <w:t>Recommend improvements while identifying matters requiring specialist advice.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OSRA-5104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Hazard Identification and Risk Assessment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Identify interacting hazards across a task sequence.</w:t>
            </w:r>
          </w:p>
          <w:p>
            <w:pPr>
              <w:tabs>
                <w:tab w:pos="170" w:val="left"/>
              </w:tabs>
              <w:spacing w:before="0" w:after="0"/>
              <w:ind w:left="170" w:hanging="170"/>
            </w:pPr>
            <w:r>
              <w:rPr>
                <w:rFonts w:ascii="Arial" w:hAnsi="Arial" w:eastAsia="Arial" w:cs="Arial"/>
                <w:b w:val="0"/>
                <w:sz w:val="20"/>
                <w:szCs w:val="20"/>
              </w:rPr>
              <w:t>•</w:t>
              <w:tab/>
              <w:t>Select and apply a suitable risk-assessment method.</w:t>
            </w:r>
          </w:p>
          <w:p>
            <w:pPr>
              <w:tabs>
                <w:tab w:pos="170" w:val="left"/>
              </w:tabs>
              <w:spacing w:before="0" w:after="0"/>
              <w:ind w:left="170" w:hanging="170"/>
            </w:pPr>
            <w:r>
              <w:rPr>
                <w:rFonts w:ascii="Arial" w:hAnsi="Arial" w:eastAsia="Arial" w:cs="Arial"/>
                <w:b w:val="0"/>
                <w:sz w:val="20"/>
                <w:szCs w:val="20"/>
              </w:rPr>
              <w:t>•</w:t>
              <w:tab/>
              <w:t>Justify controls using exposure pathways and the hierarchy of control.</w:t>
            </w:r>
          </w:p>
          <w:p>
            <w:pPr>
              <w:tabs>
                <w:tab w:pos="170" w:val="left"/>
              </w:tabs>
              <w:spacing w:before="0" w:after="0"/>
              <w:ind w:left="170" w:hanging="170"/>
            </w:pPr>
            <w:r>
              <w:rPr>
                <w:rFonts w:ascii="Arial" w:hAnsi="Arial" w:eastAsia="Arial" w:cs="Arial"/>
                <w:b w:val="0"/>
                <w:sz w:val="20"/>
                <w:szCs w:val="20"/>
              </w:rPr>
              <w:t>•</w:t>
              <w:tab/>
              <w:t>Record residual risk, control ownership and review triggers.</w:t>
            </w:r>
          </w:p>
          <w:p>
            <w:pPr>
              <w:tabs>
                <w:tab w:pos="170" w:val="left"/>
              </w:tabs>
              <w:spacing w:before="0" w:after="0"/>
              <w:ind w:left="170" w:hanging="170"/>
            </w:pPr>
            <w:r>
              <w:rPr>
                <w:rFonts w:ascii="Arial" w:hAnsi="Arial" w:eastAsia="Arial" w:cs="Arial"/>
                <w:b w:val="0"/>
                <w:sz w:val="20"/>
                <w:szCs w:val="20"/>
              </w:rPr>
              <w:t>•</w:t>
              <w:tab/>
              <w:t>Evaluate a changed task and revise the risk assessment with reasons.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OSHM-5105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Occupational Hygiene and Health Monitoring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exposure routes and health effects relevant to common workplace agents.</w:t>
            </w:r>
          </w:p>
          <w:p>
            <w:pPr>
              <w:tabs>
                <w:tab w:pos="170" w:val="left"/>
              </w:tabs>
              <w:spacing w:before="0" w:after="0"/>
              <w:ind w:left="170" w:hanging="170"/>
            </w:pPr>
            <w:r>
              <w:rPr>
                <w:rFonts w:ascii="Arial" w:hAnsi="Arial" w:eastAsia="Arial" w:cs="Arial"/>
                <w:b w:val="0"/>
                <w:sz w:val="20"/>
                <w:szCs w:val="20"/>
              </w:rPr>
              <w:t>•</w:t>
              <w:tab/>
              <w:t>Select an indicative monitoring approach for a stated exposure question.</w:t>
            </w:r>
          </w:p>
          <w:p>
            <w:pPr>
              <w:tabs>
                <w:tab w:pos="170" w:val="left"/>
              </w:tabs>
              <w:spacing w:before="0" w:after="0"/>
              <w:ind w:left="170" w:hanging="170"/>
            </w:pPr>
            <w:r>
              <w:rPr>
                <w:rFonts w:ascii="Arial" w:hAnsi="Arial" w:eastAsia="Arial" w:cs="Arial"/>
                <w:b w:val="0"/>
                <w:sz w:val="20"/>
                <w:szCs w:val="20"/>
              </w:rPr>
              <w:t>•</w:t>
              <w:tab/>
              <w:t>Interpret supplied monitoring data and measurement limitations.</w:t>
            </w:r>
          </w:p>
          <w:p>
            <w:pPr>
              <w:tabs>
                <w:tab w:pos="170" w:val="left"/>
              </w:tabs>
              <w:spacing w:before="0" w:after="0"/>
              <w:ind w:left="170" w:hanging="170"/>
            </w:pPr>
            <w:r>
              <w:rPr>
                <w:rFonts w:ascii="Arial" w:hAnsi="Arial" w:eastAsia="Arial" w:cs="Arial"/>
                <w:b w:val="0"/>
                <w:sz w:val="20"/>
                <w:szCs w:val="20"/>
              </w:rPr>
              <w:t>•</w:t>
              <w:tab/>
              <w:t>Recommend exposure controls and referral to competent specialists.</w:t>
            </w:r>
          </w:p>
          <w:p>
            <w:pPr>
              <w:tabs>
                <w:tab w:pos="170" w:val="left"/>
              </w:tabs>
              <w:spacing w:before="0" w:after="0"/>
              <w:ind w:left="170" w:hanging="170"/>
            </w:pPr>
            <w:r>
              <w:rPr>
                <w:rFonts w:ascii="Arial" w:hAnsi="Arial" w:eastAsia="Arial" w:cs="Arial"/>
                <w:b w:val="0"/>
                <w:sz w:val="20"/>
                <w:szCs w:val="20"/>
              </w:rPr>
              <w:t>•</w:t>
              <w:tab/>
              <w:t>Prepare a confidential health-risk communication without making a diagnosis.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OSII-5206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Incident Investigation and Learning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Plan evidence collection for a simulated incident.</w:t>
            </w:r>
          </w:p>
          <w:p>
            <w:pPr>
              <w:tabs>
                <w:tab w:pos="170" w:val="left"/>
              </w:tabs>
              <w:spacing w:before="0" w:after="0"/>
              <w:ind w:left="170" w:hanging="170"/>
            </w:pPr>
            <w:r>
              <w:rPr>
                <w:rFonts w:ascii="Arial" w:hAnsi="Arial" w:eastAsia="Arial" w:cs="Arial"/>
                <w:b w:val="0"/>
                <w:sz w:val="20"/>
                <w:szCs w:val="20"/>
              </w:rPr>
              <w:t>•</w:t>
              <w:tab/>
              <w:t>Separate factual observations from inference and blame.</w:t>
            </w:r>
          </w:p>
          <w:p>
            <w:pPr>
              <w:tabs>
                <w:tab w:pos="170" w:val="left"/>
              </w:tabs>
              <w:spacing w:before="0" w:after="0"/>
              <w:ind w:left="170" w:hanging="170"/>
            </w:pPr>
            <w:r>
              <w:rPr>
                <w:rFonts w:ascii="Arial" w:hAnsi="Arial" w:eastAsia="Arial" w:cs="Arial"/>
                <w:b w:val="0"/>
                <w:sz w:val="20"/>
                <w:szCs w:val="20"/>
              </w:rPr>
              <w:t>•</w:t>
              <w:tab/>
              <w:t>Analyse immediate and organisational contributing factors.</w:t>
            </w:r>
          </w:p>
          <w:p>
            <w:pPr>
              <w:tabs>
                <w:tab w:pos="170" w:val="left"/>
              </w:tabs>
              <w:spacing w:before="0" w:after="0"/>
              <w:ind w:left="170" w:hanging="170"/>
            </w:pPr>
            <w:r>
              <w:rPr>
                <w:rFonts w:ascii="Arial" w:hAnsi="Arial" w:eastAsia="Arial" w:cs="Arial"/>
                <w:b w:val="0"/>
                <w:sz w:val="20"/>
                <w:szCs w:val="20"/>
              </w:rPr>
              <w:t>•</w:t>
              <w:tab/>
              <w:t>Specify corrective actions with owners and completion evidence.</w:t>
            </w:r>
          </w:p>
          <w:p>
            <w:pPr>
              <w:tabs>
                <w:tab w:pos="170" w:val="left"/>
              </w:tabs>
              <w:spacing w:before="0" w:after="0"/>
              <w:ind w:left="170" w:hanging="170"/>
            </w:pPr>
            <w:r>
              <w:rPr>
                <w:rFonts w:ascii="Arial" w:hAnsi="Arial" w:eastAsia="Arial" w:cs="Arial"/>
                <w:b w:val="0"/>
                <w:sz w:val="20"/>
                <w:szCs w:val="20"/>
              </w:rPr>
              <w:t>•</w:t>
              <w:tab/>
              <w:t>Evaluate action effectiveness using follow-up indicators.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OSRA-5104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OSEP-5207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Emergency Preparedness and Response Coordination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credible emergency scenarios for a workplace.</w:t>
            </w:r>
          </w:p>
          <w:p>
            <w:pPr>
              <w:tabs>
                <w:tab w:pos="170" w:val="left"/>
              </w:tabs>
              <w:spacing w:before="0" w:after="0"/>
              <w:ind w:left="170" w:hanging="170"/>
            </w:pPr>
            <w:r>
              <w:rPr>
                <w:rFonts w:ascii="Arial" w:hAnsi="Arial" w:eastAsia="Arial" w:cs="Arial"/>
                <w:b w:val="0"/>
                <w:sz w:val="20"/>
                <w:szCs w:val="20"/>
              </w:rPr>
              <w:t>•</w:t>
              <w:tab/>
              <w:t>Prepare role, communication and evacuation arrangements.</w:t>
            </w:r>
          </w:p>
          <w:p>
            <w:pPr>
              <w:tabs>
                <w:tab w:pos="170" w:val="left"/>
              </w:tabs>
              <w:spacing w:before="0" w:after="0"/>
              <w:ind w:left="170" w:hanging="170"/>
            </w:pPr>
            <w:r>
              <w:rPr>
                <w:rFonts w:ascii="Arial" w:hAnsi="Arial" w:eastAsia="Arial" w:cs="Arial"/>
                <w:b w:val="0"/>
                <w:sz w:val="20"/>
                <w:szCs w:val="20"/>
              </w:rPr>
              <w:t>•</w:t>
              <w:tab/>
              <w:t>Select exercise objectives and evaluation criteria.</w:t>
            </w:r>
          </w:p>
          <w:p>
            <w:pPr>
              <w:tabs>
                <w:tab w:pos="170" w:val="left"/>
              </w:tabs>
              <w:spacing w:before="0" w:after="0"/>
              <w:ind w:left="170" w:hanging="170"/>
            </w:pPr>
            <w:r>
              <w:rPr>
                <w:rFonts w:ascii="Arial" w:hAnsi="Arial" w:eastAsia="Arial" w:cs="Arial"/>
                <w:b w:val="0"/>
                <w:sz w:val="20"/>
                <w:szCs w:val="20"/>
              </w:rPr>
              <w:t>•</w:t>
              <w:tab/>
              <w:t>Coordinate a supervised tabletop exercise within assigned authority.</w:t>
            </w:r>
          </w:p>
          <w:p>
            <w:pPr>
              <w:tabs>
                <w:tab w:pos="170" w:val="left"/>
              </w:tabs>
              <w:spacing w:before="0" w:after="0"/>
              <w:ind w:left="170" w:hanging="170"/>
            </w:pPr>
            <w:r>
              <w:rPr>
                <w:rFonts w:ascii="Arial" w:hAnsi="Arial" w:eastAsia="Arial" w:cs="Arial"/>
                <w:b w:val="0"/>
                <w:sz w:val="20"/>
                <w:szCs w:val="20"/>
              </w:rPr>
              <w:t>•</w:t>
              <w:tab/>
              <w:t>Revise the response plan using recorded exercise findings.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OSRA-5104, OSHM-5105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OSMS-5208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Safety Management Systems and Internal Review</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planning, implementation, evaluation and improvement interact.</w:t>
            </w:r>
          </w:p>
          <w:p>
            <w:pPr>
              <w:tabs>
                <w:tab w:pos="170" w:val="left"/>
              </w:tabs>
              <w:spacing w:before="0" w:after="0"/>
              <w:ind w:left="170" w:hanging="170"/>
            </w:pPr>
            <w:r>
              <w:rPr>
                <w:rFonts w:ascii="Arial" w:hAnsi="Arial" w:eastAsia="Arial" w:cs="Arial"/>
                <w:b w:val="0"/>
                <w:sz w:val="20"/>
                <w:szCs w:val="20"/>
              </w:rPr>
              <w:t>•</w:t>
              <w:tab/>
              <w:t>Develop objectives and indicators linked to priority risks.</w:t>
            </w:r>
          </w:p>
          <w:p>
            <w:pPr>
              <w:tabs>
                <w:tab w:pos="170" w:val="left"/>
              </w:tabs>
              <w:spacing w:before="0" w:after="0"/>
              <w:ind w:left="170" w:hanging="170"/>
            </w:pPr>
            <w:r>
              <w:rPr>
                <w:rFonts w:ascii="Arial" w:hAnsi="Arial" w:eastAsia="Arial" w:cs="Arial"/>
                <w:b w:val="0"/>
                <w:sz w:val="20"/>
                <w:szCs w:val="20"/>
              </w:rPr>
              <w:t>•</w:t>
              <w:tab/>
              <w:t>Sample documentary evidence against defined review criteria.</w:t>
            </w:r>
          </w:p>
          <w:p>
            <w:pPr>
              <w:tabs>
                <w:tab w:pos="170" w:val="left"/>
              </w:tabs>
              <w:spacing w:before="0" w:after="0"/>
              <w:ind w:left="170" w:hanging="170"/>
            </w:pPr>
            <w:r>
              <w:rPr>
                <w:rFonts w:ascii="Arial" w:hAnsi="Arial" w:eastAsia="Arial" w:cs="Arial"/>
                <w:b w:val="0"/>
                <w:sz w:val="20"/>
                <w:szCs w:val="20"/>
              </w:rPr>
              <w:t>•</w:t>
              <w:tab/>
              <w:t>Report system gaps with traceable evidence and proportionate recommendations.</w:t>
            </w:r>
          </w:p>
          <w:p>
            <w:pPr>
              <w:tabs>
                <w:tab w:pos="170" w:val="left"/>
              </w:tabs>
              <w:spacing w:before="0" w:after="0"/>
              <w:ind w:left="170" w:hanging="170"/>
            </w:pPr>
            <w:r>
              <w:rPr>
                <w:rFonts w:ascii="Arial" w:hAnsi="Arial" w:eastAsia="Arial" w:cs="Arial"/>
                <w:b w:val="0"/>
                <w:sz w:val="20"/>
                <w:szCs w:val="20"/>
              </w:rPr>
              <w:t>•</w:t>
              <w:tab/>
              <w:t>Prepare a management-review brief that distinguishes verified performance from assumptions.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OSGP-5103, OSRA-5104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OSTC-5209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Safety Training and Worker Consultation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safety learning needs using task and incident evidence.</w:t>
            </w:r>
          </w:p>
          <w:p>
            <w:pPr>
              <w:tabs>
                <w:tab w:pos="170" w:val="left"/>
              </w:tabs>
              <w:spacing w:before="0" w:after="0"/>
              <w:ind w:left="170" w:hanging="170"/>
            </w:pPr>
            <w:r>
              <w:rPr>
                <w:rFonts w:ascii="Arial" w:hAnsi="Arial" w:eastAsia="Arial" w:cs="Arial"/>
                <w:b w:val="0"/>
                <w:sz w:val="20"/>
                <w:szCs w:val="20"/>
              </w:rPr>
              <w:t>•</w:t>
              <w:tab/>
              <w:t>Prepare accessible learning activities for a defined workforce.</w:t>
            </w:r>
          </w:p>
          <w:p>
            <w:pPr>
              <w:tabs>
                <w:tab w:pos="170" w:val="left"/>
              </w:tabs>
              <w:spacing w:before="0" w:after="0"/>
              <w:ind w:left="170" w:hanging="170"/>
            </w:pPr>
            <w:r>
              <w:rPr>
                <w:rFonts w:ascii="Arial" w:hAnsi="Arial" w:eastAsia="Arial" w:cs="Arial"/>
                <w:b w:val="0"/>
                <w:sz w:val="20"/>
                <w:szCs w:val="20"/>
              </w:rPr>
              <w:t>•</w:t>
              <w:tab/>
              <w:t>Deliver a practical safety briefing and check understanding.</w:t>
            </w:r>
          </w:p>
          <w:p>
            <w:pPr>
              <w:tabs>
                <w:tab w:pos="170" w:val="left"/>
              </w:tabs>
              <w:spacing w:before="0" w:after="0"/>
              <w:ind w:left="170" w:hanging="170"/>
            </w:pPr>
            <w:r>
              <w:rPr>
                <w:rFonts w:ascii="Arial" w:hAnsi="Arial" w:eastAsia="Arial" w:cs="Arial"/>
                <w:b w:val="0"/>
                <w:sz w:val="20"/>
                <w:szCs w:val="20"/>
              </w:rPr>
              <w:t>•</w:t>
              <w:tab/>
              <w:t>Facilitate consultation on a proposed control without suppressing concerns.</w:t>
            </w:r>
          </w:p>
          <w:p>
            <w:pPr>
              <w:tabs>
                <w:tab w:pos="170" w:val="left"/>
              </w:tabs>
              <w:spacing w:before="0" w:after="0"/>
              <w:ind w:left="170" w:hanging="170"/>
            </w:pPr>
            <w:r>
              <w:rPr>
                <w:rFonts w:ascii="Arial" w:hAnsi="Arial" w:eastAsia="Arial" w:cs="Arial"/>
                <w:b w:val="0"/>
                <w:sz w:val="20"/>
                <w:szCs w:val="20"/>
              </w:rPr>
              <w:t>•</w:t>
              <w:tab/>
              <w:t>Evaluate learning transfer and propose follow-up support.</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OSGP-5103, OSHM-5105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OSIP-5210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Occupational Safety Improvement Project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Define a workplace safety problem and investigation boundaries.</w:t>
            </w:r>
          </w:p>
          <w:p>
            <w:pPr>
              <w:tabs>
                <w:tab w:pos="170" w:val="left"/>
              </w:tabs>
              <w:spacing w:before="0" w:after="0"/>
              <w:ind w:left="170" w:hanging="170"/>
            </w:pPr>
            <w:r>
              <w:rPr>
                <w:rFonts w:ascii="Arial" w:hAnsi="Arial" w:eastAsia="Arial" w:cs="Arial"/>
                <w:b w:val="0"/>
                <w:sz w:val="20"/>
                <w:szCs w:val="20"/>
              </w:rPr>
              <w:t>•</w:t>
              <w:tab/>
              <w:t>Integrate risk, exposure and organisational evidence.</w:t>
            </w:r>
          </w:p>
          <w:p>
            <w:pPr>
              <w:tabs>
                <w:tab w:pos="170" w:val="left"/>
              </w:tabs>
              <w:spacing w:before="0" w:after="0"/>
              <w:ind w:left="170" w:hanging="170"/>
            </w:pPr>
            <w:r>
              <w:rPr>
                <w:rFonts w:ascii="Arial" w:hAnsi="Arial" w:eastAsia="Arial" w:cs="Arial"/>
                <w:b w:val="0"/>
                <w:sz w:val="20"/>
                <w:szCs w:val="20"/>
              </w:rPr>
              <w:t>•</w:t>
              <w:tab/>
              <w:t>Compare improvement options with justified priorities.</w:t>
            </w:r>
          </w:p>
          <w:p>
            <w:pPr>
              <w:tabs>
                <w:tab w:pos="170" w:val="left"/>
              </w:tabs>
              <w:spacing w:before="0" w:after="0"/>
              <w:ind w:left="170" w:hanging="170"/>
            </w:pPr>
            <w:r>
              <w:rPr>
                <w:rFonts w:ascii="Arial" w:hAnsi="Arial" w:eastAsia="Arial" w:cs="Arial"/>
                <w:b w:val="0"/>
                <w:sz w:val="20"/>
                <w:szCs w:val="20"/>
              </w:rPr>
              <w:t>•</w:t>
              <w:tab/>
              <w:t>Develop an implementation, consultation and monitoring plan.</w:t>
            </w:r>
          </w:p>
          <w:p>
            <w:pPr>
              <w:tabs>
                <w:tab w:pos="170" w:val="left"/>
              </w:tabs>
              <w:spacing w:before="0" w:after="0"/>
              <w:ind w:left="170" w:hanging="170"/>
            </w:pPr>
            <w:r>
              <w:rPr>
                <w:rFonts w:ascii="Arial" w:hAnsi="Arial" w:eastAsia="Arial" w:cs="Arial"/>
                <w:b w:val="0"/>
                <w:sz w:val="20"/>
                <w:szCs w:val="20"/>
              </w:rPr>
              <w:t>•</w:t>
              <w:tab/>
              <w:t>Defend findings and identify unresolved specialist or legal questions.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OSGP-5103, OSRA-5104, OSHM-5105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OSGP-5103 – Occupational Safety Governance and Practice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Annotated obligations register and governance case analysis.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International Organization for Standardization. (2018). Risk management—Guidelines (ISO Standard No. 31000:2018).</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68">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70">
              <w:r>
                <w:rPr>
                  <w:rFonts w:ascii="Arial" w:hAnsi="Arial" w:eastAsia="Arial" w:cs="Arial"/>
                  <w:sz w:val="20"/>
                  <w:szCs w:val="20"/>
                </w:rPr>
                <w:t>Kew, G., &amp; Ehrlich, R. I. (Eds.). (2026). A handbook on occupational health practice in the South African mining industry (2nd ed.). Mine Health and Safety Council.</w:t>
              </w:r>
            </w:hyperlink>
          </w:p>
          <w:p>
            <w:pPr>
              <w:spacing w:after="40" w:line="240" w:lineRule="auto" w:before="40"/>
            </w:pPr>
            <w:hyperlink r:id="rId71">
              <w:r>
                <w:rPr>
                  <w:rFonts w:ascii="Arial" w:hAnsi="Arial" w:eastAsia="Arial" w:cs="Arial"/>
                  <w:sz w:val="20"/>
                  <w:szCs w:val="20"/>
                </w:rPr>
                <w:t>Department of Mineral Resources and Energy. (2024). Guideline for a mandatory code of practice for minimum standards on ground vibrations, noise, air-blast and flyrock near surface structures and communities to be protected (Government Notice 5097, Government Gazette 51003).</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OSRA-5104 – Hazard Identification and Risk Assessment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Observed risk assessment, control justification and changed-task reassessment.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0">
              <w:r>
                <w:rPr>
                  <w:rFonts w:ascii="Arial" w:hAnsi="Arial" w:eastAsia="Arial" w:cs="Arial"/>
                  <w:sz w:val="20"/>
                  <w:szCs w:val="20"/>
                </w:rPr>
                <w:t>Kew, G., &amp; Ehrlich, R. I. (Eds.). (2026). A handbook on occupational health practice in the South African mining industry (2nd ed.). Mine Health and Safety Council.</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2">
              <w:r>
                <w:rPr>
                  <w:rFonts w:ascii="Arial" w:hAnsi="Arial" w:eastAsia="Arial" w:cs="Arial"/>
                  <w:sz w:val="20"/>
                  <w:szCs w:val="20"/>
                </w:rPr>
                <w:t>World Health Organization &amp; International Labour Organization. (2022). Mental health at work: Policy brief.</w:t>
              </w:r>
            </w:hyperlink>
          </w:p>
          <w:p>
            <w:pPr>
              <w:spacing w:after="40" w:line="240" w:lineRule="auto" w:before="40"/>
            </w:pPr>
            <w:hyperlink r:id="rId73">
              <w:r>
                <w:rPr>
                  <w:rFonts w:ascii="Arial" w:hAnsi="Arial" w:eastAsia="Arial" w:cs="Arial"/>
                  <w:sz w:val="20"/>
                  <w:szCs w:val="20"/>
                </w:rPr>
                <w:t>International Labour Organization. (2022). Safety and health in construction: ILO code of practice (Rev. ed.).</w:t>
              </w:r>
            </w:hyperlink>
          </w:p>
          <w:p>
            <w:pPr>
              <w:spacing w:after="40" w:line="240" w:lineRule="auto" w:before="40"/>
            </w:pPr>
            <w:hyperlink r:id="rId74">
              <w:r>
                <w:rPr>
                  <w:rFonts w:ascii="Arial" w:hAnsi="Arial" w:eastAsia="Arial" w:cs="Arial"/>
                  <w:sz w:val="20"/>
                  <w:szCs w:val="20"/>
                </w:rPr>
                <w:t>Department of Mineral Resources and Energy. (2022). Guideline for a mandatory code of practice for an occupational health programme (occupational hygiene and medical surveillance) for noise (Government Notice 1755, Government Gazette 45903).</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OSHM-5105 – Occupational Hygiene and Health Monitoring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Exposure interpretation workbook and health-risk communication exercise.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8">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5">
              <w:r>
                <w:rPr>
                  <w:rFonts w:ascii="Arial" w:hAnsi="Arial" w:eastAsia="Arial" w:cs="Arial"/>
                  <w:sz w:val="20"/>
                  <w:szCs w:val="20"/>
                </w:rPr>
                <w:t>International Labour Organization. (2023). Safe and healthy working environments for all: Realizing the fundamental right to a safe and healthy working environment worldwide.</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70">
              <w:r>
                <w:rPr>
                  <w:rFonts w:ascii="Arial" w:hAnsi="Arial" w:eastAsia="Arial" w:cs="Arial"/>
                  <w:sz w:val="20"/>
                  <w:szCs w:val="20"/>
                </w:rPr>
                <w:t>Kew, G., &amp; Ehrlich, R. I. (Eds.). (2026). A handbook on occupational health practice in the South African mining industry (2nd ed.). Mine Health and Safety Council.</w:t>
              </w:r>
            </w:hyperlink>
          </w:p>
          <w:p>
            <w:pPr>
              <w:spacing w:after="40" w:line="240" w:lineRule="auto" w:before="40"/>
            </w:pPr>
            <w:hyperlink r:id="rId76">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OSII-5206 – Incident Investigation and Learning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 EO3,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Simulated investigation report and verified action plan.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3">
              <w:r>
                <w:rPr>
                  <w:rFonts w:ascii="Arial" w:hAnsi="Arial" w:eastAsia="Arial" w:cs="Arial"/>
                  <w:sz w:val="20"/>
                  <w:szCs w:val="20"/>
                </w:rPr>
                <w:t>International Labour Organization. (2022). Safety and health in construction: ILO code of practice (Rev. ed.).</w:t>
              </w:r>
            </w:hyperlink>
          </w:p>
          <w:p>
            <w:pPr>
              <w:spacing w:after="40" w:line="240" w:lineRule="auto" w:before="40"/>
            </w:pPr>
            <w:hyperlink r:id="rId68">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70">
              <w:r>
                <w:rPr>
                  <w:rFonts w:ascii="Arial" w:hAnsi="Arial" w:eastAsia="Arial" w:cs="Arial"/>
                  <w:sz w:val="20"/>
                  <w:szCs w:val="20"/>
                </w:rPr>
                <w:t>Kew, G., &amp; Ehrlich, R. I. (Eds.). (2026). A handbook on occupational health practice in the South African mining industry (2nd ed.). Mine Health and Safety Council.</w:t>
              </w:r>
            </w:hyperlink>
          </w:p>
          <w:p>
            <w:pPr>
              <w:spacing w:after="40" w:line="240" w:lineRule="auto" w:before="40"/>
            </w:pPr>
            <w:hyperlink r:id="rId76">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OSEP-5207 – Emergency Preparedness and Response Coordination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Tabletop exercise plan, observation records and revised emergency arrangements.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7">
              <w:r>
                <w:rPr>
                  <w:rFonts w:ascii="Arial" w:hAnsi="Arial" w:eastAsia="Arial" w:cs="Arial"/>
                  <w:sz w:val="20"/>
                  <w:szCs w:val="20"/>
                </w:rPr>
                <w:t>International Labour Organization. (2022). A safe and healthy working environment is a fundamental principle and right at work.</w:t>
              </w:r>
            </w:hyperlink>
          </w:p>
          <w:p>
            <w:pPr>
              <w:spacing w:after="40" w:line="240" w:lineRule="auto" w:before="40"/>
            </w:pPr>
            <w:hyperlink r:id="rId78">
              <w:r>
                <w:rPr>
                  <w:rFonts w:ascii="Arial" w:hAnsi="Arial" w:eastAsia="Arial" w:cs="Arial"/>
                  <w:sz w:val="20"/>
                  <w:szCs w:val="20"/>
                </w:rPr>
                <w:t>Bright, D. S., &amp; Cortes, A. H. (2019). Principles of management. OpenStax.</w:t>
              </w:r>
            </w:hyperlink>
          </w:p>
          <w:p>
            <w:pPr>
              <w:spacing w:after="40" w:line="240" w:lineRule="auto" w:before="40"/>
            </w:pPr>
            <w:hyperlink r:id="rId79">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OSMS-5208 – Safety Management Systems and Internal Review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System-review portfolio and management-review presentation.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8">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67">
              <w:r>
                <w:rPr>
                  <w:rFonts w:ascii="Arial" w:hAnsi="Arial" w:eastAsia="Arial" w:cs="Arial"/>
                  <w:sz w:val="20"/>
                  <w:szCs w:val="20"/>
                </w:rPr>
                <w:t>International Organization for Standardization. (2018). Risk management—Guidelines (ISO Standard No. 31000:2018).</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9">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76">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OSTC-5209 – Safety Training and Worker Consultation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Training session with observation, consultation record and evaluation plan.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7">
              <w:r>
                <w:rPr>
                  <w:rFonts w:ascii="Arial" w:hAnsi="Arial" w:eastAsia="Arial" w:cs="Arial"/>
                  <w:sz w:val="20"/>
                  <w:szCs w:val="20"/>
                </w:rPr>
                <w:t>International Labour Organization. (2022). A safe and healthy working environment is a fundamental principle and right at work.</w:t>
              </w:r>
            </w:hyperlink>
          </w:p>
          <w:p>
            <w:pPr>
              <w:spacing w:after="40" w:line="240" w:lineRule="auto" w:before="40"/>
            </w:pPr>
            <w:hyperlink r:id="rId78">
              <w:r>
                <w:rPr>
                  <w:rFonts w:ascii="Arial" w:hAnsi="Arial" w:eastAsia="Arial" w:cs="Arial"/>
                  <w:sz w:val="20"/>
                  <w:szCs w:val="20"/>
                </w:rPr>
                <w:t>Bright, D. S., &amp; Cortes, A. H. (2019). Principles of management. OpenStax.</w:t>
              </w:r>
            </w:hyperlink>
          </w:p>
          <w:p>
            <w:pPr>
              <w:spacing w:after="40" w:line="240" w:lineRule="auto" w:before="40"/>
            </w:pPr>
            <w:hyperlink r:id="rId79">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OSIP-5210 – Integrated Occupational Safety Improvement Project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Individual improvement report, risk register and oral defence based on a controlled workplace case.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8">
              <w:r>
                <w:rPr>
                  <w:rFonts w:ascii="Arial" w:hAnsi="Arial" w:eastAsia="Arial" w:cs="Arial"/>
                  <w:sz w:val="20"/>
                  <w:szCs w:val="20"/>
                </w:rPr>
                <w:t>International Organization for Standardization. (2018). Occupational health and safety management systems—Requirements with guidance for use (ISO Standard No. 45001:2018).</w:t>
              </w:r>
            </w:hyperlink>
          </w:p>
          <w:p>
            <w:pPr>
              <w:spacing w:after="40" w:line="240" w:lineRule="auto" w:before="40"/>
            </w:pPr>
            <w:hyperlink r:id="rId67">
              <w:r>
                <w:rPr>
                  <w:rFonts w:ascii="Arial" w:hAnsi="Arial" w:eastAsia="Arial" w:cs="Arial"/>
                  <w:sz w:val="20"/>
                  <w:szCs w:val="20"/>
                </w:rPr>
                <w:t>International Organization for Standardization. (2018). Risk management—Guidelines (ISO Standard No. 31000:2018).</w:t>
              </w:r>
            </w:hyperlink>
          </w:p>
          <w:p>
            <w:pPr>
              <w:spacing w:after="40" w:line="240" w:lineRule="auto" w:before="40"/>
            </w:pPr>
            <w:hyperlink r:id="rId27">
              <w:r>
                <w:rPr>
                  <w:rFonts w:ascii="Arial" w:hAnsi="Arial" w:eastAsia="Arial" w:cs="Arial"/>
                  <w:sz w:val="20"/>
                  <w:szCs w:val="20"/>
                </w:rPr>
                <w:t>International Labour Organization. (2018). Safety and health in opencast mines: ILO code of practice (Rev. ed.).</w:t>
              </w:r>
            </w:hyperlink>
          </w:p>
          <w:p>
            <w:pPr>
              <w:spacing w:after="40" w:line="240" w:lineRule="auto" w:before="40"/>
            </w:pPr>
            <w:hyperlink r:id="rId79">
              <w:r>
                <w:rPr>
                  <w:rFonts w:ascii="Arial" w:hAnsi="Arial" w:eastAsia="Arial" w:cs="Arial"/>
                  <w:sz w:val="20"/>
                  <w:szCs w:val="20"/>
                </w:rPr>
                <w:t>Prinsloo, H., &amp; Hofmeyr, K. B. (2022). Organisational culture, frontline supervisory engagement and accountability, as drivers of safety behaviour in a platinum mining organisation. SA Journal of Human Resource Management, 20, Article a1705. https://doi.org/10.4102/sajhrm.v20i0.1705</w:t>
              </w:r>
            </w:hyperlink>
          </w:p>
          <w:p>
            <w:pPr>
              <w:spacing w:after="40" w:line="240" w:lineRule="auto" w:before="40"/>
            </w:pPr>
            <w:hyperlink r:id="rId76">
              <w:r>
                <w:rPr>
                  <w:rFonts w:ascii="Arial" w:hAnsi="Arial" w:eastAsia="Arial" w:cs="Arial"/>
                  <w:sz w:val="20"/>
                  <w:szCs w:val="20"/>
                </w:rPr>
                <w:t>Govender, U., van Eck, G., &amp; Genc, B. (2022). An integrated 4Cs safety framework for the diamond industry of Southern Africa. Resources Policy, 77, Article 102774. https://doi.org/10.1016/j.resourpol.2022.102774</w:t>
              </w:r>
            </w:hyperlink>
          </w:p>
          <w:p>
            <w:pPr>
              <w:spacing w:after="40" w:line="240" w:lineRule="auto" w:before="40"/>
            </w:pPr>
            <w:hyperlink r:id="rId69">
              <w:r>
                <w:rPr>
                  <w:rFonts w:ascii="Arial" w:hAnsi="Arial" w:eastAsia="Arial" w:cs="Arial"/>
                  <w:sz w:val="20"/>
                  <w:szCs w:val="20"/>
                </w:rPr>
                <w:t>Myeni, S. S., &amp; Ngcobo, N. J. (2020). The profile of occupational health and safety: South Africa. Department of Employment and Labour &amp; International Labour Organization.</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OCOL-5021</w:t>
            </w:r>
          </w:p>
        </w:tc>
        <w:tc>
          <w:tcPr>
            <w:tcW w:w="2977" w:type="dxa"/>
            <w:vAlign w:val="top"/>
          </w:tcPr>
          <w:p>
            <w:pPr>
              <w:spacing w:before="40" w:after="40" w:line="240" w:lineRule="auto"/>
              <w:jc w:val="left"/>
            </w:pPr>
            <w:r>
              <w:rPr>
                <w:rFonts w:ascii="Arial" w:hAnsi="Arial" w:eastAsia="Arial" w:cs="Arial"/>
                <w:b w:val="0"/>
                <w:sz w:val="20"/>
                <w:szCs w:val="20"/>
              </w:rPr>
              <w:t>South Africa: SAQA 121527: NQF 5; 120 credits: knowledge 34, practical 48, work experience 38. Operational safety systems, risk, documentation and emergency readiness. Registered 2024–2029; same numerical level and credits do not establish cross-border equivalence. South Africa: SAQA 105733: Diploma in Safety Management; NQF 6; 360 credits. Safety, hygiene, ergonomics and business management. Higher level and three times the credit volume; a breadth/progression reference, not a substitute qualification. The College response retains the operational boundaries and uses an individual integrated project rather than claiming occupational equivalence.</w:t>
            </w:r>
          </w:p>
        </w:tc>
        <w:tc>
          <w:tcPr>
            <w:tcW w:w="2268" w:type="dxa"/>
            <w:vAlign w:val="top"/>
          </w:tcPr>
          <w:p>
            <w:pPr>
              <w:spacing w:before="40" w:after="40" w:line="240" w:lineRule="auto"/>
              <w:jc w:val="left"/>
            </w:pPr>
            <w:r>
              <w:rPr>
                <w:rFonts w:ascii="Arial" w:hAnsi="Arial" w:eastAsia="Arial" w:cs="Arial"/>
                <w:b w:val="0"/>
                <w:sz w:val="20"/>
                <w:szCs w:val="20"/>
              </w:rPr>
              <w:t>OSGP-5103, OSRA-5104, OSHM-5105, OSII-5206, OSEP-5207, OSMS-5208, OSTC-5209, OSIP-5210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The programme addresses the ability to identify workplace hazards, evaluate controls and maintain an auditable response to incidents. Its scope should remain operational and cross-sectoral; neither the title nor successful assessment confers statutory appointment, clinical authority or professional registration. Namdeb reports five lost-time injuries and four high-potential incidents in 2025 (Chamber of Mines of Namibia, 2026, p. 56). Use incident and precursor analysis as curriculum priorities. A single employer’s counts are not a national incidence rate or proof of a staffing shortage. NATLEX identifies Namibia’s 1997 workplace health-and-safety regulations and their continuation under the 2007 Labour Act (International Labour Organization, n.d.). Learners need legal-source literacy and site-specific applicability checks, rather than memorised foreign legislation.</w:t>
            </w:r>
          </w:p>
        </w:tc>
        <w:tc>
          <w:tcPr>
            <w:tcW w:w="2553" w:type="dxa"/>
            <w:vAlign w:val="top"/>
          </w:tcPr>
          <w:p>
            <w:pPr>
              <w:spacing w:before="40" w:after="40" w:line="240" w:lineRule="auto"/>
              <w:jc w:val="left"/>
            </w:pPr>
            <w:r>
              <w:rPr>
                <w:rFonts w:ascii="Arial" w:hAnsi="Arial" w:eastAsia="Arial" w:cs="Arial"/>
                <w:b w:val="0"/>
                <w:sz w:val="20"/>
                <w:szCs w:val="20"/>
              </w:rPr>
              <w:t>OSGP-5103, OSRA-5104, OSHM-5105, OSII-5206, OSEP-5207, OSMS-5208, OSTC-5209, OSIP-5210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yperlink" Target="https://www.iso.org/standard/65694.html" TargetMode="External"/><Relationship Id="rId68" Type="http://schemas.openxmlformats.org/officeDocument/2006/relationships/hyperlink" Target="https://www.iso.org/standard/63787.html" TargetMode="External"/><Relationship Id="rId69" Type="http://schemas.openxmlformats.org/officeDocument/2006/relationships/hyperlink" Target="https://www.labour.gov.za/DocumentCenter/Publications/Occupational%20Health%20and%20Safety/The%20Profile%20Occupational%20Health%20and%20Safety%20South%20Africa.pdf" TargetMode="External"/><Relationship Id="rId70" Type="http://schemas.openxmlformats.org/officeDocument/2006/relationships/hyperlink" Target="https://elibrary.mhsc.org.za/uploads/events/docs/custom_1768977382_74d46134.pdf" TargetMode="External"/><Relationship Id="rId71" Type="http://schemas.openxmlformats.org/officeDocument/2006/relationships/hyperlink" Target="https://www.gov.za/sites/default/files/gcis_document/202408/51003gon5097.pdf" TargetMode="External"/><Relationship Id="rId72" Type="http://schemas.openxmlformats.org/officeDocument/2006/relationships/hyperlink" Target="https://www.who.int/publications/i/item/9789240057944" TargetMode="External"/><Relationship Id="rId73" Type="http://schemas.openxmlformats.org/officeDocument/2006/relationships/hyperlink" Target="https://www.ilo.org/resource/other/safety-and-health-construction-revised-edition" TargetMode="External"/><Relationship Id="rId74" Type="http://schemas.openxmlformats.org/officeDocument/2006/relationships/hyperlink" Target="https://www.gov.za/sites/default/files/gcis_document/202202/45903gon1755.pdf" TargetMode="External"/><Relationship Id="rId75" Type="http://schemas.openxmlformats.org/officeDocument/2006/relationships/hyperlink" Target="https://www.ilo.org/publications/safe-and-healthy-working-environments-all-realizing-fundamental-right-safe" TargetMode="External"/><Relationship Id="rId76" Type="http://schemas.openxmlformats.org/officeDocument/2006/relationships/hyperlink" Target="https://www.sciencedirect.com/science/article/abs/pii/S0301420722002227" TargetMode="External"/><Relationship Id="rId77" Type="http://schemas.openxmlformats.org/officeDocument/2006/relationships/hyperlink" Target="https://www.ilo.org/publications/safe-and-healthy-working-environment-fundamental-principle-and-right-work" TargetMode="External"/><Relationship Id="rId78" Type="http://schemas.openxmlformats.org/officeDocument/2006/relationships/hyperlink" Target="https://openstax.org/books/principles-management/pages/1-introduction" TargetMode="External"/><Relationship Id="rId79" Type="http://schemas.openxmlformats.org/officeDocument/2006/relationships/hyperlink" Target="https://sajhrm.co.za/index.php/sajhrm/article/view/1705/2822" TargetMode="External"/><Relationship Id="rId8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Occupational Health and Safety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