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A255F2" w14:textId="20CF6E46" w:rsidR="00C65B51" w:rsidRPr="008B6C93" w:rsidRDefault="00885E26">
      <w:pPr>
        <w:spacing w:before="0" w:after="120"/>
        <w:jc w:val="center"/>
        <w:rPr>
          <w:rFonts w:ascii="Arial" w:hAnsi="Arial" w:eastAsia="Arial" w:cs="Arial"/>
          <w:sz w:val="20"/>
          <w:szCs w:val="20"/>
        </w:rPr>
      </w:pPr>
      <w:r w:rsidRPr="008B6C93">
        <w:rPr>
          <w:rFonts w:ascii="Arial" w:hAnsi="Arial" w:eastAsia="Arial" w:cs="Arial"/>
          <w:noProof/>
          <w:sz w:val="20"/>
          <w:szCs w:val="20"/>
        </w:rPr>
        <w:drawing>
          <wp:inline distT="0" distB="0" distL="0" distR="0" wp14:anchorId="50C627BB" wp14:editId="3EA0226C">
            <wp:extent cx="1816100" cy="1816100"/>
            <wp:effectExtent l="0" t="0" r="0" b="0"/>
            <wp:docPr id="217480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480970" name=""/>
                    <pic:cNvPicPr/>
                  </pic:nvPicPr>
                  <pic:blipFill>
                    <a:blip r:embed="rId8"/>
                    <a:stretch>
                      <a:fillRect/>
                    </a:stretch>
                  </pic:blipFill>
                  <pic:spPr>
                    <a:xfrm>
                      <a:off x="0" y="0"/>
                      <a:ext cx="1816100" cy="1816100"/>
                    </a:xfrm>
                    <a:prstGeom prst="rect">
                      <a:avLst/>
                    </a:prstGeom>
                  </pic:spPr>
                </pic:pic>
              </a:graphicData>
            </a:graphic>
          </wp:inline>
        </w:drawing>
      </w:r>
    </w:p>
    <w:p w14:paraId="4DC8069F" w14:textId="73822B24" w:rsidR="00C65B51" w:rsidRPr="008B6C93" w:rsidRDefault="00000000">
      <w:pPr>
        <w:pStyle w:val="Title"/>
        <w:spacing w:before="0" w:after="120"/>
        <w:jc w:val="center"/>
        <w:rPr>
          <w:rFonts w:ascii="Arial" w:hAnsi="Arial" w:eastAsia="Arial" w:cs="Arial"/>
          <w:b w:val="0"/>
          <w:sz w:val="20"/>
          <w:szCs w:val="20"/>
        </w:rPr>
      </w:pPr>
      <w:r w:rsidRPr="008B6C93">
        <w:rPr>
          <w:rFonts w:ascii="Arial" w:hAnsi="Arial" w:eastAsia="Arial" w:cs="Arial"/>
          <w:b w:val="0"/>
          <w:sz w:val="20"/>
          <w:szCs w:val="20"/>
        </w:rPr>
        <w:t>Oranjemund College</w:t>
      </w:r>
    </w:p>
    <w:p w14:paraId="6805B60F" w14:textId="63BDF884" w:rsidR="008F64FC" w:rsidRPr="008B6C93" w:rsidRDefault="008F64FC" w:rsidP="008F64FC">
      <w:pPr>
        <w:spacing w:before="0" w:after="120"/>
        <w:jc w:val="center"/>
        <w:rPr>
          <w:rFonts w:ascii="Arial" w:hAnsi="Arial" w:eastAsia="Arial" w:cs="Arial"/>
          <w:sz w:val="20"/>
          <w:szCs w:val="20"/>
        </w:rPr>
      </w:pPr>
      <w:r>
        <w:rPr>
          <w:rFonts w:ascii="Arial" w:hAnsi="Arial" w:eastAsia="Arial" w:cs="Arial"/>
          <w:sz w:val="20"/>
          <w:szCs w:val="20"/>
        </w:rPr>
        <w:t>Diploma in Mining Supervision and Leadership (Level 5)</w:t>
      </w:r>
    </w:p>
    <w:p w14:paraId="0DB2D636" w14:textId="77777777" w:rsidR="00C65B51" w:rsidRPr="008B6C93" w:rsidRDefault="00000000">
      <w:pPr>
        <w:pStyle w:val="Subtitle"/>
        <w:spacing w:before="0" w:after="120"/>
        <w:jc w:val="center"/>
        <w:rPr>
          <w:rFonts w:ascii="Arial" w:hAnsi="Arial" w:eastAsia="Arial" w:cs="Arial"/>
          <w:sz w:val="20"/>
          <w:szCs w:val="20"/>
        </w:rPr>
      </w:pPr>
      <w:r w:rsidRPr="008B6C93">
        <w:rPr>
          <w:rFonts w:ascii="Arial" w:hAnsi="Arial" w:eastAsia="Arial" w:cs="Arial"/>
          <w:sz w:val="20"/>
          <w:szCs w:val="20"/>
        </w:rPr>
        <w:t>Qualification Structure</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39"/>
        <w:gridCol w:w="2694"/>
        <w:gridCol w:w="2948"/>
      </w:tblGrid>
      <w:tr w:rsidR="008F64FC" w:rsidRPr="008B6C93" w14:paraId="1038B9DF" w14:textId="77777777" w:rsidTr="00373D14">
        <w:trPr/>
        <w:tc>
          <w:tcPr>
            <w:tcW w:w="9781" w:type="dxa"/>
            <w:gridSpan w:val="3"/>
            <w:tcBorders>
              <w:top w:val="single" w:sz="4" w:space="0" w:color="501549"/>
              <w:left w:val="single" w:sz="4" w:space="0" w:color="501549"/>
              <w:bottom w:val="single" w:sz="4" w:space="0" w:color="501549"/>
              <w:right w:val="single" w:sz="4" w:space="0" w:color="501549"/>
            </w:tcBorders>
            <w:vAlign w:val="top"/>
          </w:tcPr>
          <w:p>
            <w:pPr>
              <w:spacing w:before="40" w:after="40" w:line="240" w:lineRule="auto"/>
              <w:jc w:val="left"/>
            </w:pPr>
            <w:r>
              <w:rPr>
                <w:rFonts w:ascii="Arial" w:hAnsi="Arial" w:eastAsia="Arial" w:cs="Arial"/>
                <w:b w:val="0"/>
                <w:sz w:val="20"/>
                <w:szCs w:val="20"/>
              </w:rPr>
              <w:t>Diploma in Mining Supervision and Leadership (Level 5)</w:t>
            </w:r>
          </w:p>
        </w:tc>
      </w:tr>
      <w:tr w:rsidR="008F64FC" w:rsidRPr="008B6C93" w14:paraId="372686C7" w14:textId="77777777" w:rsidTr="00373D14">
        <w:trPr/>
        <w:tc>
          <w:tcPr>
            <w:tcW w:w="4139" w:type="dxa"/>
            <w:tcBorders>
              <w:top w:val="single" w:sz="4" w:space="0" w:color="501549"/>
              <w:left w:val="nil"/>
              <w:bottom w:val="nil"/>
              <w:right w:val="nil"/>
            </w:tcBorders>
            <w:vAlign w:val="top"/>
          </w:tcPr>
          <w:p w14:paraId="6B3F5FEC" w14:textId="77777777" w:rsidR="008F64FC" w:rsidRPr="008B6C93" w:rsidRDefault="008F64FC" w:rsidP="008862B1">
            <w:pPr>
              <w:pStyle w:val="Default"/>
              <w:spacing w:line="240" w:lineRule="auto" w:before="40" w:after="40"/>
              <w:contextualSpacing/>
              <w:rPr>
                <w:rFonts w:ascii="Arial" w:hAnsi="Arial" w:eastAsia="Arial" w:cs="Arial"/>
                <w:sz w:val="20"/>
                <w:szCs w:val="20"/>
                <w:lang w:val="en-US"/>
              </w:rPr>
            </w:pPr>
          </w:p>
        </w:tc>
        <w:tc>
          <w:tcPr>
            <w:tcW w:w="2694" w:type="dxa"/>
            <w:tcBorders>
              <w:top w:val="single" w:sz="4" w:space="0" w:color="501549"/>
              <w:left w:val="nil"/>
              <w:bottom w:val="nil"/>
              <w:right w:val="nil"/>
            </w:tcBorders>
            <w:vAlign w:val="top"/>
          </w:tcPr>
          <w:p w14:paraId="794FDE9C" w14:textId="77777777" w:rsidR="008F64FC" w:rsidRPr="008B6C93" w:rsidRDefault="008F64FC" w:rsidP="008862B1">
            <w:pPr>
              <w:pStyle w:val="Default"/>
              <w:spacing w:line="240" w:lineRule="auto" w:before="40" w:after="40"/>
              <w:contextualSpacing/>
              <w:rPr>
                <w:rFonts w:ascii="Arial" w:hAnsi="Arial" w:eastAsia="Arial" w:cs="Arial"/>
                <w:sz w:val="20"/>
                <w:szCs w:val="20"/>
                <w:lang w:val="en-US"/>
              </w:rPr>
            </w:pPr>
          </w:p>
        </w:tc>
        <w:tc>
          <w:tcPr>
            <w:tcW w:w="2948" w:type="dxa"/>
            <w:tcBorders>
              <w:top w:val="single" w:sz="4" w:space="0" w:color="501549"/>
              <w:left w:val="nil"/>
              <w:bottom w:val="nil"/>
              <w:right w:val="nil"/>
            </w:tcBorders>
            <w:vAlign w:val="top"/>
          </w:tcPr>
          <w:p w14:paraId="081C0CDF" w14:textId="77777777" w:rsidR="008F64FC" w:rsidRPr="008B6C93" w:rsidRDefault="008F64FC" w:rsidP="008862B1">
            <w:pPr>
              <w:pStyle w:val="Default"/>
              <w:spacing w:line="240" w:lineRule="auto" w:before="40" w:after="40"/>
              <w:contextualSpacing/>
              <w:rPr>
                <w:rFonts w:ascii="Arial" w:hAnsi="Arial" w:eastAsia="Arial" w:cs="Arial"/>
                <w:sz w:val="20"/>
                <w:szCs w:val="20"/>
                <w:lang w:val="en-US"/>
              </w:rPr>
            </w:pPr>
          </w:p>
        </w:tc>
      </w:tr>
      <w:tr w:rsidR="008F64FC" w:rsidRPr="008B6C93" w14:paraId="6789A94B" w14:textId="77777777" w:rsidTr="00373D14">
        <w:trPr/>
        <w:tc>
          <w:tcPr>
            <w:tcW w:w="4139" w:type="dxa"/>
            <w:tcBorders>
              <w:top w:val="nil"/>
              <w:left w:val="nil"/>
              <w:bottom w:val="nil"/>
              <w:right w:val="nil"/>
            </w:tcBorders>
            <w:vAlign w:val="top"/>
          </w:tcPr>
          <w:p w14:paraId="5C0D49DF" w14:textId="77777777" w:rsidR="008F64FC" w:rsidRPr="008B6C93" w:rsidRDefault="008F64FC" w:rsidP="008862B1">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Field:</w:t>
            </w:r>
            <w:r w:rsidRPr="008B6C93">
              <w:rPr>
                <w:rStyle w:val="FootnoteReference"/>
                <w:rFonts w:ascii="Arial" w:hAnsi="Arial" w:eastAsia="Arial" w:cs="Arial"/>
                <w:sz w:val="20"/>
                <w:szCs w:val="20"/>
              </w:rPr>
              <w:footnoteReference w:id="1"/>
            </w:r>
            <w:r w:rsidRPr="008B6C93">
              <w:rPr>
                <w:rFonts w:ascii="Arial" w:hAnsi="Arial" w:eastAsia="Arial" w:cs="Arial"/>
                <w:sz w:val="20"/>
                <w:szCs w:val="20"/>
              </w:rPr>
              <w:t xml:space="preserve"> </w:t>
            </w:r>
            <w:r w:rsidRPr="008B6C93">
              <w:rPr>
                <w:rFonts w:ascii="Arial" w:hAnsi="Arial" w:eastAsia="Arial" w:cs="Arial"/>
                <w:sz w:val="20"/>
                <w:szCs w:val="20"/>
              </w:rPr>
              <w:tab/>
            </w:r>
          </w:p>
        </w:tc>
        <w:tc>
          <w:tcPr>
            <w:tcW w:w="5642" w:type="dxa"/>
            <w:gridSpan w:val="2"/>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Manufacturing, Engineering and Technology</w:t>
            </w:r>
          </w:p>
        </w:tc>
      </w:tr>
      <w:tr w:rsidR="008F64FC" w:rsidRPr="008B6C93" w14:paraId="196F940D" w14:textId="77777777" w:rsidTr="00373D14">
        <w:trPr/>
        <w:tc>
          <w:tcPr>
            <w:tcW w:w="4139" w:type="dxa"/>
            <w:tcBorders>
              <w:top w:val="nil"/>
              <w:left w:val="nil"/>
              <w:bottom w:val="nil"/>
              <w:right w:val="nil"/>
            </w:tcBorders>
            <w:vAlign w:val="top"/>
          </w:tcPr>
          <w:p w14:paraId="27309244" w14:textId="77777777" w:rsidR="008F64FC" w:rsidRPr="008B6C93" w:rsidRDefault="008F64FC" w:rsidP="008862B1">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Qualification Code:</w:t>
            </w:r>
            <w:r w:rsidRPr="008B6C93">
              <w:rPr>
                <w:rStyle w:val="FootnoteReference"/>
                <w:rFonts w:ascii="Arial" w:hAnsi="Arial" w:eastAsia="Arial" w:cs="Arial"/>
                <w:sz w:val="20"/>
                <w:szCs w:val="20"/>
              </w:rPr>
              <w:footnoteReference w:id="2"/>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OCOL-5022</w:t>
            </w:r>
          </w:p>
        </w:tc>
        <w:tc>
          <w:tcPr>
            <w:tcW w:w="2948" w:type="dxa"/>
            <w:tcBorders>
              <w:top w:val="nil"/>
              <w:left w:val="nil"/>
              <w:bottom w:val="nil"/>
              <w:right w:val="nil"/>
            </w:tcBorders>
            <w:vAlign w:val="top"/>
          </w:tcPr>
          <w:p w14:paraId="6A56A7C8" w14:textId="77777777" w:rsidR="008F64FC" w:rsidRPr="008B6C93" w:rsidRDefault="008F64FC" w:rsidP="00091C17">
            <w:pPr>
              <w:tabs>
                <w:tab w:val="left" w:pos="3970"/>
                <w:tab w:val="left" w:pos="6237"/>
              </w:tabs>
              <w:spacing w:line="240" w:lineRule="auto" w:before="40" w:after="40"/>
              <w:contextualSpacing/>
              <w:jc w:val="both"/>
              <w:rPr>
                <w:rFonts w:ascii="Arial" w:hAnsi="Arial" w:eastAsia="Arial" w:cs="Arial"/>
                <w:sz w:val="20"/>
                <w:szCs w:val="20"/>
              </w:rPr>
            </w:pPr>
          </w:p>
        </w:tc>
      </w:tr>
      <w:tr w:rsidR="008F64FC" w:rsidRPr="008B6C93" w14:paraId="0A0C7629" w14:textId="77777777" w:rsidTr="00373D14">
        <w:trPr/>
        <w:tc>
          <w:tcPr>
            <w:tcW w:w="4139" w:type="dxa"/>
            <w:tcBorders>
              <w:top w:val="nil"/>
              <w:left w:val="nil"/>
              <w:bottom w:val="nil"/>
              <w:right w:val="nil"/>
            </w:tcBorders>
            <w:vAlign w:val="top"/>
          </w:tcPr>
          <w:p w14:paraId="7E59DD18" w14:textId="6EFE09AC" w:rsidR="008F64FC" w:rsidRPr="008B6C93" w:rsidRDefault="008F64FC" w:rsidP="008862B1">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NQF registration ID:</w:t>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Not yet assigned</w:t>
            </w:r>
          </w:p>
        </w:tc>
        <w:tc>
          <w:tcPr>
            <w:tcW w:w="2948" w:type="dxa"/>
            <w:tcBorders>
              <w:top w:val="nil"/>
              <w:left w:val="nil"/>
              <w:bottom w:val="nil"/>
              <w:right w:val="nil"/>
            </w:tcBorders>
            <w:vAlign w:val="top"/>
          </w:tcPr>
          <w:p w14:paraId="53B60C8E" w14:textId="77777777" w:rsidR="008F64FC" w:rsidRPr="008B6C93" w:rsidRDefault="008F64FC" w:rsidP="00091C17">
            <w:pPr>
              <w:tabs>
                <w:tab w:val="left" w:pos="3970"/>
                <w:tab w:val="left" w:pos="6237"/>
              </w:tabs>
              <w:spacing w:line="240" w:lineRule="auto" w:before="40" w:after="40"/>
              <w:contextualSpacing/>
              <w:jc w:val="both"/>
              <w:rPr>
                <w:rFonts w:ascii="Arial" w:hAnsi="Arial" w:eastAsia="Arial" w:cs="Arial"/>
                <w:sz w:val="20"/>
                <w:szCs w:val="20"/>
              </w:rPr>
            </w:pPr>
          </w:p>
        </w:tc>
      </w:tr>
      <w:tr w:rsidR="008F64FC" w:rsidRPr="008B6C93" w14:paraId="7AB93721" w14:textId="77777777" w:rsidTr="00373D14">
        <w:trPr/>
        <w:tc>
          <w:tcPr>
            <w:tcW w:w="4139" w:type="dxa"/>
            <w:tcBorders>
              <w:top w:val="nil"/>
              <w:left w:val="nil"/>
              <w:bottom w:val="nil"/>
              <w:right w:val="nil"/>
            </w:tcBorders>
            <w:vAlign w:val="top"/>
          </w:tcPr>
          <w:p w14:paraId="1673DA21" w14:textId="554FBF36"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Duration and delivery</w:t>
            </w:r>
          </w:p>
        </w:tc>
        <w:tc>
          <w:tcPr>
            <w:tcW w:w="5642" w:type="dxa"/>
            <w:gridSpan w:val="2"/>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Full-time: one academic year, two semesters. Part-time: extended calendar with the same 120 credits and 1,200 notional hours. Full-time, part-time or blended delivery. Online teaching may support suitable learning; assessed practical and simulation activities remain supervised.</w:t>
            </w:r>
          </w:p>
        </w:tc>
      </w:tr>
      <w:tr w:rsidR="008F64FC" w:rsidRPr="008B6C93" w14:paraId="0125F763" w14:textId="77777777" w:rsidTr="00373D14">
        <w:trPr/>
        <w:tc>
          <w:tcPr>
            <w:tcW w:w="4139" w:type="dxa"/>
            <w:tcBorders>
              <w:top w:val="nil"/>
              <w:left w:val="nil"/>
              <w:bottom w:val="nil"/>
              <w:right w:val="nil"/>
            </w:tcBorders>
            <w:vAlign w:val="top"/>
          </w:tcPr>
          <w:p w14:paraId="2E84EDDE" w14:textId="3BB53686"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Campus</w:t>
            </w:r>
          </w:p>
        </w:tc>
        <w:tc>
          <w:tcPr>
            <w:tcW w:w="5642" w:type="dxa"/>
            <w:gridSpan w:val="2"/>
            <w:tcBorders>
              <w:top w:val="nil"/>
              <w:left w:val="nil"/>
              <w:bottom w:val="nil"/>
              <w:right w:val="nil"/>
            </w:tcBorders>
            <w:vAlign w:val="top"/>
          </w:tcPr>
          <w:p w14:paraId="4C58AE5D" w14:textId="59348FDF" w:rsidR="008F64FC" w:rsidRPr="008B6C93" w:rsidRDefault="008F64FC" w:rsidP="00091C17">
            <w:pPr>
              <w:spacing w:before="40" w:after="40" w:line="240" w:lineRule="auto"/>
              <w:jc w:val="both"/>
              <w:rPr>
                <w:rFonts w:ascii="Arial" w:hAnsi="Arial" w:eastAsia="Arial" w:cs="Arial"/>
                <w:sz w:val="20"/>
                <w:szCs w:val="20"/>
              </w:rPr>
            </w:pPr>
            <w:r w:rsidRPr="008B6C93">
              <w:rPr>
                <w:rFonts w:ascii="Arial" w:hAnsi="Arial" w:eastAsia="Arial" w:cs="Arial"/>
                <w:sz w:val="20"/>
                <w:szCs w:val="20"/>
              </w:rPr>
              <w:t>Oranjemund, //Kharas Region, Namibia</w:t>
            </w:r>
          </w:p>
        </w:tc>
      </w:tr>
      <w:tr w:rsidR="008F64FC" w:rsidRPr="008B6C93" w14:paraId="62551673" w14:textId="77777777" w:rsidTr="00373D14">
        <w:trPr/>
        <w:tc>
          <w:tcPr>
            <w:tcW w:w="4139" w:type="dxa"/>
            <w:tcBorders>
              <w:top w:val="nil"/>
              <w:left w:val="nil"/>
              <w:bottom w:val="nil"/>
              <w:right w:val="nil"/>
            </w:tcBorders>
            <w:vAlign w:val="top"/>
          </w:tcPr>
          <w:p w14:paraId="688F7BE1" w14:textId="77777777"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Level of qualification:</w:t>
            </w:r>
            <w:r w:rsidRPr="008B6C93">
              <w:rPr>
                <w:rStyle w:val="FootnoteReference"/>
                <w:rFonts w:ascii="Arial" w:hAnsi="Arial" w:eastAsia="Arial" w:cs="Arial"/>
                <w:sz w:val="20"/>
                <w:szCs w:val="20"/>
              </w:rPr>
              <w:footnoteReference w:id="3"/>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5</w:t>
            </w:r>
          </w:p>
        </w:tc>
        <w:tc>
          <w:tcPr>
            <w:tcW w:w="2948" w:type="dxa"/>
            <w:tcBorders>
              <w:top w:val="nil"/>
              <w:left w:val="nil"/>
              <w:bottom w:val="nil"/>
              <w:right w:val="nil"/>
            </w:tcBorders>
            <w:vAlign w:val="top"/>
          </w:tcPr>
          <w:p w14:paraId="33CD341D"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p>
        </w:tc>
      </w:tr>
      <w:tr w:rsidR="008F64FC" w:rsidRPr="008B6C93" w14:paraId="266D0A72" w14:textId="77777777" w:rsidTr="00373D14">
        <w:trPr/>
        <w:tc>
          <w:tcPr>
            <w:tcW w:w="4139" w:type="dxa"/>
            <w:tcBorders>
              <w:top w:val="nil"/>
              <w:left w:val="nil"/>
              <w:bottom w:val="nil"/>
              <w:right w:val="nil"/>
            </w:tcBorders>
            <w:vAlign w:val="top"/>
          </w:tcPr>
          <w:p w14:paraId="754B126A" w14:textId="77777777"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Total credits available:</w:t>
            </w:r>
            <w:r w:rsidRPr="008B6C93">
              <w:rPr>
                <w:rStyle w:val="FootnoteReference"/>
                <w:rFonts w:ascii="Arial" w:hAnsi="Arial" w:eastAsia="Arial" w:cs="Arial"/>
                <w:sz w:val="20"/>
                <w:szCs w:val="20"/>
              </w:rPr>
              <w:footnoteReference w:id="4"/>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120</w:t>
            </w:r>
          </w:p>
        </w:tc>
        <w:tc>
          <w:tcPr>
            <w:tcW w:w="2948" w:type="dxa"/>
            <w:tcBorders>
              <w:top w:val="nil"/>
              <w:left w:val="nil"/>
              <w:bottom w:val="nil"/>
              <w:right w:val="nil"/>
            </w:tcBorders>
            <w:vAlign w:val="top"/>
          </w:tcPr>
          <w:p w14:paraId="2FBDFBAE"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p>
        </w:tc>
      </w:tr>
      <w:tr w:rsidR="008F64FC" w:rsidRPr="008B6C93" w14:paraId="102BBC9A" w14:textId="77777777" w:rsidTr="00373D14">
        <w:trPr/>
        <w:tc>
          <w:tcPr>
            <w:tcW w:w="4139" w:type="dxa"/>
            <w:tcBorders>
              <w:top w:val="nil"/>
              <w:left w:val="nil"/>
              <w:bottom w:val="nil"/>
              <w:right w:val="nil"/>
            </w:tcBorders>
            <w:vAlign w:val="top"/>
          </w:tcPr>
          <w:p w14:paraId="40366EC9" w14:textId="77777777"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Total credits required:</w:t>
            </w:r>
            <w:r w:rsidRPr="008B6C93">
              <w:rPr>
                <w:rStyle w:val="FootnoteReference"/>
                <w:rFonts w:ascii="Arial" w:hAnsi="Arial" w:eastAsia="Arial" w:cs="Arial"/>
                <w:sz w:val="20"/>
                <w:szCs w:val="20"/>
              </w:rPr>
              <w:footnoteReference w:id="5"/>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120</w:t>
            </w:r>
          </w:p>
        </w:tc>
        <w:tc>
          <w:tcPr>
            <w:tcW w:w="2948" w:type="dxa"/>
            <w:tcBorders>
              <w:top w:val="nil"/>
              <w:left w:val="nil"/>
              <w:bottom w:val="nil"/>
              <w:right w:val="nil"/>
            </w:tcBorders>
            <w:vAlign w:val="top"/>
          </w:tcPr>
          <w:p w14:paraId="07E25035"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p>
        </w:tc>
      </w:tr>
      <w:tr w:rsidR="008F64FC" w:rsidRPr="008B6C93" w14:paraId="50774F81" w14:textId="77777777" w:rsidTr="00373D14">
        <w:trPr/>
        <w:tc>
          <w:tcPr>
            <w:tcW w:w="4139" w:type="dxa"/>
            <w:tcBorders>
              <w:top w:val="nil"/>
              <w:left w:val="nil"/>
              <w:bottom w:val="nil"/>
              <w:right w:val="nil"/>
            </w:tcBorders>
            <w:vAlign w:val="top"/>
          </w:tcPr>
          <w:p w14:paraId="78EF2504" w14:textId="77777777" w:rsidR="008F64FC" w:rsidRPr="008B6C93" w:rsidRDefault="008F64FC" w:rsidP="008F64FC">
            <w:pPr>
              <w:pStyle w:val="Default"/>
              <w:spacing w:line="240" w:lineRule="auto" w:before="40" w:after="40"/>
              <w:contextualSpacing/>
              <w:rPr>
                <w:rFonts w:ascii="Arial" w:hAnsi="Arial" w:eastAsia="Arial" w:cs="Arial"/>
                <w:sz w:val="20"/>
                <w:szCs w:val="20"/>
                <w:lang w:val="en-US"/>
              </w:rPr>
            </w:pPr>
          </w:p>
        </w:tc>
        <w:tc>
          <w:tcPr>
            <w:tcW w:w="2694" w:type="dxa"/>
            <w:tcBorders>
              <w:top w:val="nil"/>
              <w:left w:val="nil"/>
              <w:bottom w:val="single" w:sz="4" w:space="0" w:color="auto"/>
              <w:right w:val="nil"/>
            </w:tcBorders>
            <w:vAlign w:val="top"/>
          </w:tcPr>
          <w:p w14:paraId="096C0D8B" w14:textId="77777777" w:rsidR="008F64FC" w:rsidRPr="008B6C93" w:rsidRDefault="008F64FC" w:rsidP="008F64FC">
            <w:pPr>
              <w:pStyle w:val="Default"/>
              <w:spacing w:line="240" w:lineRule="auto" w:before="40" w:after="40"/>
              <w:contextualSpacing/>
              <w:rPr>
                <w:rFonts w:ascii="Arial" w:hAnsi="Arial" w:eastAsia="Arial" w:cs="Arial"/>
                <w:sz w:val="20"/>
                <w:szCs w:val="20"/>
                <w:lang w:val="en-US"/>
              </w:rPr>
            </w:pPr>
          </w:p>
        </w:tc>
        <w:tc>
          <w:tcPr>
            <w:tcW w:w="2948" w:type="dxa"/>
            <w:tcBorders>
              <w:top w:val="nil"/>
              <w:left w:val="nil"/>
              <w:bottom w:val="single" w:sz="4" w:space="0" w:color="auto"/>
              <w:right w:val="nil"/>
            </w:tcBorders>
            <w:vAlign w:val="top"/>
          </w:tcPr>
          <w:p w14:paraId="11504BC4" w14:textId="77777777" w:rsidR="008F64FC" w:rsidRPr="008B6C93" w:rsidRDefault="008F64FC" w:rsidP="008F64FC">
            <w:pPr>
              <w:pStyle w:val="Default"/>
              <w:spacing w:line="240" w:lineRule="auto" w:before="40" w:after="40"/>
              <w:contextualSpacing/>
              <w:rPr>
                <w:rFonts w:ascii="Arial" w:hAnsi="Arial" w:eastAsia="Arial" w:cs="Arial"/>
                <w:sz w:val="20"/>
                <w:szCs w:val="20"/>
                <w:lang w:val="en-US"/>
              </w:rPr>
            </w:pPr>
          </w:p>
        </w:tc>
      </w:tr>
      <w:tr w:rsidR="008F64FC" w:rsidRPr="008B6C93" w14:paraId="70229A20" w14:textId="77777777" w:rsidTr="00373D14">
        <w:trPr/>
        <w:tc>
          <w:tcPr>
            <w:tcW w:w="4139" w:type="dxa"/>
            <w:tcBorders>
              <w:top w:val="nil"/>
              <w:left w:val="nil"/>
            </w:tcBorders>
            <w:vAlign w:val="top"/>
          </w:tcPr>
          <w:p w14:paraId="0C31F5A3" w14:textId="77777777" w:rsidR="008F64FC" w:rsidRPr="008B6C93" w:rsidRDefault="008F64FC" w:rsidP="008F64FC">
            <w:pPr>
              <w:spacing w:line="240" w:lineRule="auto" w:before="40" w:after="40"/>
              <w:ind w:hanging="114"/>
              <w:contextualSpacing/>
              <w:jc w:val="both"/>
              <w:rPr>
                <w:rFonts w:ascii="Arial" w:hAnsi="Arial" w:eastAsia="Arial" w:cs="Arial"/>
                <w:sz w:val="20"/>
                <w:szCs w:val="20"/>
              </w:rPr>
            </w:pPr>
          </w:p>
        </w:tc>
        <w:tc>
          <w:tcPr>
            <w:tcW w:w="2694" w:type="dxa"/>
            <w:tcBorders>
              <w:top w:val="single" w:sz="4" w:space="0" w:color="auto"/>
            </w:tcBorders>
            <w:vAlign w:val="top"/>
          </w:tcPr>
          <w:p w14:paraId="73A925A9"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r w:rsidRPr="008B6C93">
              <w:rPr>
                <w:rFonts w:ascii="Arial" w:hAnsi="Arial" w:eastAsia="Arial" w:cs="Arial"/>
                <w:sz w:val="20"/>
                <w:szCs w:val="20"/>
              </w:rPr>
              <w:t>Compulsory</w:t>
            </w:r>
          </w:p>
        </w:tc>
        <w:tc>
          <w:tcPr>
            <w:tcW w:w="2948" w:type="dxa"/>
            <w:tcBorders>
              <w:top w:val="single" w:sz="4" w:space="0" w:color="auto"/>
            </w:tcBorders>
            <w:vAlign w:val="top"/>
          </w:tcPr>
          <w:p w14:paraId="3B16AE1E"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r w:rsidRPr="008B6C93">
              <w:rPr>
                <w:rFonts w:ascii="Arial" w:hAnsi="Arial" w:eastAsia="Arial" w:cs="Arial"/>
                <w:sz w:val="20"/>
                <w:szCs w:val="20"/>
              </w:rPr>
              <w:t>Elective</w:t>
            </w:r>
          </w:p>
        </w:tc>
      </w:tr>
      <w:tr w:rsidR="008F64FC" w:rsidRPr="008B6C93" w14:paraId="719BA1F4" w14:textId="77777777" w:rsidTr="00373D14">
        <w:trPr/>
        <w:tc>
          <w:tcPr>
            <w:tcW w:w="4139" w:type="dxa"/>
            <w:vAlign w:val="top"/>
          </w:tcPr>
          <w:p>
            <w:pPr>
              <w:spacing w:before="40" w:after="40" w:line="240" w:lineRule="auto"/>
              <w:jc w:val="left"/>
            </w:pPr>
            <w:r>
              <w:rPr>
                <w:rFonts w:ascii="Arial" w:hAnsi="Arial" w:eastAsia="Arial" w:cs="Arial"/>
                <w:b w:val="0"/>
                <w:sz w:val="20"/>
                <w:szCs w:val="20"/>
              </w:rPr>
              <w:t>Level 5 credits:</w:t>
            </w:r>
          </w:p>
        </w:tc>
        <w:tc>
          <w:tcPr>
            <w:tcW w:w="2694" w:type="dxa"/>
            <w:vAlign w:val="top"/>
          </w:tcPr>
          <w:p>
            <w:pPr>
              <w:spacing w:before="40" w:after="40" w:line="240" w:lineRule="auto"/>
              <w:jc w:val="left"/>
            </w:pPr>
            <w:r>
              <w:rPr>
                <w:rFonts w:ascii="Arial" w:hAnsi="Arial" w:eastAsia="Arial" w:cs="Arial"/>
                <w:b w:val="0"/>
                <w:sz w:val="20"/>
                <w:szCs w:val="20"/>
              </w:rPr>
              <w:t>120</w:t>
            </w:r>
          </w:p>
        </w:tc>
        <w:tc>
          <w:tcPr>
            <w:tcW w:w="2948" w:type="dxa"/>
            <w:vAlign w:val="top"/>
          </w:tcPr>
          <w:p w14:paraId="7D744C2F"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r w:rsidRPr="008B6C93">
              <w:rPr>
                <w:rFonts w:ascii="Arial" w:hAnsi="Arial" w:eastAsia="Arial" w:cs="Arial"/>
                <w:sz w:val="20"/>
                <w:szCs w:val="20"/>
              </w:rPr>
              <w:t>-</w:t>
            </w:r>
          </w:p>
        </w:tc>
      </w:tr>
      <w:tr w:rsidR="008F64FC" w:rsidRPr="008B6C93" w14:paraId="4CC2FF3A" w14:textId="77777777" w:rsidTr="00373D14">
        <w:trPr/>
        <w:tc>
          <w:tcPr>
            <w:tcW w:w="4139" w:type="dxa"/>
            <w:vAlign w:val="top"/>
          </w:tcPr>
          <w:p w14:paraId="7AA109A5" w14:textId="77777777" w:rsidR="008F64FC" w:rsidRPr="008B6C93" w:rsidRDefault="008F64FC" w:rsidP="008F64FC">
            <w:pPr>
              <w:tabs>
                <w:tab w:val="left" w:pos="3970"/>
                <w:tab w:val="left" w:pos="6237"/>
              </w:tabs>
              <w:spacing w:line="240" w:lineRule="auto" w:before="40" w:after="40"/>
              <w:contextualSpacing/>
              <w:jc w:val="both"/>
              <w:rPr>
                <w:rFonts w:ascii="Arial" w:hAnsi="Arial" w:eastAsia="Arial" w:cs="Arial"/>
                <w:sz w:val="20"/>
                <w:szCs w:val="20"/>
              </w:rPr>
            </w:pPr>
            <w:r w:rsidRPr="008B6C93">
              <w:rPr>
                <w:rFonts w:ascii="Arial" w:hAnsi="Arial" w:eastAsia="Arial" w:cs="Arial"/>
                <w:sz w:val="20"/>
                <w:szCs w:val="20"/>
              </w:rPr>
              <w:t>Minimum total credits required:</w:t>
            </w:r>
          </w:p>
        </w:tc>
        <w:tc>
          <w:tcPr>
            <w:tcW w:w="2694" w:type="dxa"/>
            <w:vAlign w:val="top"/>
          </w:tcPr>
          <w:p>
            <w:pPr>
              <w:spacing w:before="40" w:after="40" w:line="240" w:lineRule="auto"/>
              <w:jc w:val="left"/>
            </w:pPr>
            <w:r>
              <w:rPr>
                <w:rFonts w:ascii="Arial" w:hAnsi="Arial" w:eastAsia="Arial" w:cs="Arial"/>
                <w:b w:val="0"/>
                <w:sz w:val="20"/>
                <w:szCs w:val="20"/>
              </w:rPr>
              <w:t>120</w:t>
            </w:r>
          </w:p>
        </w:tc>
        <w:tc>
          <w:tcPr>
            <w:tcW w:w="2948" w:type="dxa"/>
            <w:vAlign w:val="top"/>
          </w:tcPr>
          <w:p w14:paraId="72449989"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r w:rsidRPr="008B6C93">
              <w:rPr>
                <w:rFonts w:ascii="Arial" w:hAnsi="Arial" w:eastAsia="Arial" w:cs="Arial"/>
                <w:sz w:val="20"/>
                <w:szCs w:val="20"/>
              </w:rPr>
              <w:t>-</w:t>
            </w:r>
          </w:p>
        </w:tc>
      </w:tr>
    </w:tbl>
    <w:p w14:paraId="0F921D54" w14:textId="77777777" w:rsidR="00885E26" w:rsidRPr="008B6C93" w:rsidRDefault="00885E26" w:rsidP="00373D14">
      <w:pPr>
        <w:pageBreakBefore/>
        <w:spacing w:before="0" w:after="120"/>
        <w:ind w:left="284"/>
        <w:contextualSpacing/>
        <w:rPr>
          <w:rFonts w:ascii="Arial" w:hAnsi="Arial" w:eastAsia="Arial" w:cs="Arial"/>
          <w:sz w:val="20"/>
          <w:szCs w:val="20"/>
        </w:rPr>
      </w:pPr>
      <w:r w:rsidRPr="008B6C93">
        <w:rPr>
          <w:rFonts w:ascii="Arial" w:hAnsi="Arial" w:eastAsia="Arial" w:cs="Arial"/>
          <w:b/>
          <w:bCs/>
          <w:sz w:val="20"/>
          <w:szCs w:val="20"/>
        </w:rPr>
        <w:t>Qualification Structure</w:t>
      </w:r>
      <w:r w:rsidRPr="008B6C93">
        <w:rPr>
          <w:rStyle w:val="FootnoteReference"/>
          <w:rFonts w:ascii="Arial" w:hAnsi="Arial" w:eastAsia="Arial" w:cs="Arial"/>
          <w:sz w:val="20"/>
          <w:szCs w:val="20"/>
        </w:rPr>
        <w:footnoteReference w:id="6"/>
      </w:r>
    </w:p>
    <w:tbl>
      <w:tblPr>
        <w:tblW w:w="9781" w:type="dxa"/>
        <w:tblInd w:w="39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567"/>
        <w:gridCol w:w="1446"/>
        <w:gridCol w:w="5783"/>
        <w:gridCol w:w="992"/>
        <w:gridCol w:w="993"/>
      </w:tblGrid>
      <w:tr w:rsidR="00885E26" w:rsidRPr="008B6C93" w14:paraId="05DAF36E" w14:textId="77777777" w:rsidTr="00373D14">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vAlign w:val="top"/>
          </w:tcPr>
          <w:p w14:paraId="70FE0492"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1446" w:type="dxa"/>
            <w:tcBorders>
              <w:top w:val="single" w:sz="4" w:space="0" w:color="000000"/>
              <w:left w:val="single" w:sz="4" w:space="0" w:color="000000"/>
              <w:bottom w:val="single" w:sz="4" w:space="0" w:color="000000"/>
              <w:right w:val="single" w:sz="4" w:space="0" w:color="000000"/>
            </w:tcBorders>
            <w:shd w:val="clear" w:color="auto" w:fill="BFBFBF"/>
            <w:vAlign w:val="top"/>
          </w:tcPr>
          <w:p w14:paraId="5C025025"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Code</w:t>
            </w:r>
          </w:p>
        </w:tc>
        <w:tc>
          <w:tcPr>
            <w:tcW w:w="578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5FC98610"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 xml:space="preserve">Module Title </w:t>
            </w:r>
          </w:p>
        </w:tc>
        <w:tc>
          <w:tcPr>
            <w:tcW w:w="99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5128FFDC"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Level</w:t>
            </w:r>
          </w:p>
        </w:tc>
        <w:tc>
          <w:tcPr>
            <w:tcW w:w="99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2CEC71EA"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Credits</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English for Communication and Academic Writing</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Principles of Information Systems</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MSOP-5103</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Mining Operations and Production Planning</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MSRC-5104</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Mining Risk and Operational Control</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MSPL-5105</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People Leadership and Workplace Relations</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MSRA-5206</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Resource Allocation and Shift Scheduling</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MSPC-5207</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Production Performance and Cost Control</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MSCC-5208</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Contractor and Maintenance Coordination</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MSTL-5209</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Team Learning and Operational Improvement</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MSIP-5210</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Integrated Mining Supervision Project</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16</w:t>
            </w:r>
          </w:p>
        </w:tc>
      </w:tr>
    </w:tbl>
    <w:p w14:paraId="5E48422E" w14:textId="77777777" w:rsidR="00C65B51" w:rsidRPr="008B6C93" w:rsidRDefault="00C65B51">
      <w:pPr>
        <w:spacing w:before="0" w:after="120"/>
        <w:rPr>
          <w:rFonts w:ascii="Arial" w:hAnsi="Arial" w:eastAsia="Arial" w:cs="Arial"/>
          <w:sz w:val="20"/>
          <w:szCs w:val="20"/>
        </w:rPr>
        <w:sectPr w:rsidR="00C65B51" w:rsidRPr="008B6C93">
          <w:footerReference w:type="default" r:id="rId9"/>
          <w:headerReference w:type="default" r:id="rId75"/>
          <w:pgSz w:w="11906" w:h="16838"/>
          <w:pgMar w:top="850" w:right="907" w:bottom="850" w:left="907" w:header="397" w:footer="397" w:gutter="0"/>
          <w:pgBorders w:display="firstPage" w:offsetFrom="page">
            <w:top w:val="single" w:sz="10" w:space="20" w:color="F36B18"/>
            <w:left w:val="single" w:sz="10" w:space="20" w:color="F36B18"/>
            <w:bottom w:val="single" w:sz="10" w:space="20" w:color="F36B18"/>
            <w:right w:val="single" w:sz="10" w:space="20" w:color="F36B18"/>
          </w:pgBorders>
          <w:cols w:space="720"/>
          <w:docGrid w:linePitch="360"/>
        </w:sectPr>
      </w:pPr>
    </w:p>
    <w:p w14:paraId="23585C03" w14:textId="47D218A8" w:rsidR="00885E26" w:rsidRPr="008B6C93" w:rsidRDefault="00885E26" w:rsidP="00885E26">
      <w:pPr>
        <w:keepNext/>
        <w:spacing w:before="0" w:after="120"/>
        <w:rPr>
          <w:rFonts w:ascii="Arial" w:hAnsi="Arial" w:eastAsia="Arial" w:cs="Arial"/>
          <w:b/>
          <w:bCs/>
          <w:lang w:val="en-US"/>
          <w:sz w:val="20"/>
          <w:szCs w:val="20"/>
        </w:rPr>
      </w:pPr>
      <w:r w:rsidRPr="008B6C93">
        <w:rPr>
          <w:rFonts w:ascii="Arial" w:hAnsi="Arial" w:eastAsia="Arial" w:cs="Arial"/>
          <w:b/>
          <w:bCs/>
          <w:sz w:val="20"/>
          <w:lang w:val="en-US"/>
          <w:szCs w:val="20"/>
        </w:rPr>
        <w:t>Detailed Qualification Structure</w:t>
      </w:r>
    </w:p>
    <w:tbl>
      <w:tblPr>
        <w:tblW w:w="1505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567"/>
        <w:gridCol w:w="1589"/>
        <w:gridCol w:w="5782"/>
        <w:gridCol w:w="853"/>
        <w:gridCol w:w="1003"/>
        <w:gridCol w:w="1134"/>
        <w:gridCol w:w="1433"/>
        <w:gridCol w:w="1417"/>
        <w:gridCol w:w="1276"/>
      </w:tblGrid>
      <w:tr w:rsidR="00885E26" w:rsidRPr="008B6C93" w14:paraId="435529B1" w14:textId="77777777" w:rsidTr="00484777">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vAlign w:val="top"/>
          </w:tcPr>
          <w:p w14:paraId="0FCEABD2"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1589" w:type="dxa"/>
            <w:tcBorders>
              <w:top w:val="single" w:sz="4" w:space="0" w:color="000000"/>
              <w:left w:val="single" w:sz="4" w:space="0" w:color="000000"/>
              <w:bottom w:val="single" w:sz="4" w:space="0" w:color="000000"/>
              <w:right w:val="single" w:sz="4" w:space="0" w:color="000000"/>
            </w:tcBorders>
            <w:shd w:val="clear" w:color="auto" w:fill="BFBFBF"/>
            <w:vAlign w:val="top"/>
          </w:tcPr>
          <w:p w14:paraId="06A24AC5"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Code</w:t>
            </w:r>
          </w:p>
        </w:tc>
        <w:tc>
          <w:tcPr>
            <w:tcW w:w="578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1B1B12E1"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 xml:space="preserve">Module Title </w:t>
            </w:r>
          </w:p>
        </w:tc>
        <w:tc>
          <w:tcPr>
            <w:tcW w:w="85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78AFF4C3"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Level</w:t>
            </w:r>
          </w:p>
        </w:tc>
        <w:tc>
          <w:tcPr>
            <w:tcW w:w="10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114DD16E"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Credits</w:t>
            </w:r>
          </w:p>
        </w:tc>
        <w:tc>
          <w:tcPr>
            <w:tcW w:w="1134" w:type="dxa"/>
            <w:tcBorders>
              <w:top w:val="single" w:sz="4" w:space="0" w:color="000000"/>
              <w:left w:val="single" w:sz="4" w:space="0" w:color="000000"/>
              <w:bottom w:val="single" w:sz="4" w:space="0" w:color="000000"/>
              <w:right w:val="single" w:sz="4" w:space="0" w:color="000000"/>
            </w:tcBorders>
            <w:shd w:val="clear" w:color="auto" w:fill="BFBFBF"/>
            <w:vAlign w:val="top"/>
          </w:tcPr>
          <w:p w14:paraId="716834B6"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Notional Hours </w:t>
            </w:r>
          </w:p>
        </w:tc>
        <w:tc>
          <w:tcPr>
            <w:tcW w:w="1433" w:type="dxa"/>
            <w:tcBorders>
              <w:top w:val="single" w:sz="4" w:space="0" w:color="000000"/>
              <w:left w:val="single" w:sz="4" w:space="0" w:color="000000"/>
              <w:bottom w:val="single" w:sz="4" w:space="0" w:color="000000"/>
              <w:right w:val="single" w:sz="4" w:space="0" w:color="000000"/>
            </w:tcBorders>
            <w:shd w:val="clear" w:color="auto" w:fill="BFBFBF"/>
            <w:vAlign w:val="top"/>
          </w:tcPr>
          <w:p w14:paraId="45BB1C75"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Pre-requisites</w:t>
            </w:r>
          </w:p>
        </w:tc>
        <w:tc>
          <w:tcPr>
            <w:tcW w:w="1417" w:type="dxa"/>
            <w:tcBorders>
              <w:top w:val="single" w:sz="4" w:space="0" w:color="000000"/>
              <w:left w:val="single" w:sz="4" w:space="0" w:color="000000"/>
              <w:bottom w:val="single" w:sz="4" w:space="0" w:color="000000"/>
              <w:right w:val="single" w:sz="4" w:space="0" w:color="000000"/>
            </w:tcBorders>
            <w:shd w:val="clear" w:color="auto" w:fill="BFBFBF"/>
            <w:vAlign w:val="top"/>
          </w:tcPr>
          <w:p w14:paraId="363F9563"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Compulsory/ Elective</w:t>
            </w:r>
          </w:p>
        </w:tc>
        <w:tc>
          <w:tcPr>
            <w:tcW w:w="1276" w:type="dxa"/>
            <w:tcBorders>
              <w:top w:val="single" w:sz="4" w:space="0" w:color="000000"/>
              <w:left w:val="single" w:sz="4" w:space="0" w:color="000000"/>
              <w:bottom w:val="single" w:sz="4" w:space="0" w:color="000000"/>
              <w:right w:val="single" w:sz="4" w:space="0" w:color="000000"/>
            </w:tcBorders>
            <w:shd w:val="clear" w:color="auto" w:fill="BFBFBF"/>
            <w:vAlign w:val="top"/>
          </w:tcPr>
          <w:p w14:paraId="4052CB7C"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Contact Hours </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English for Communication and Academic Writing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Principles of Information Systems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MSOP-5103</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Mining Operations and Production Planning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MSRC-5104</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Mining Risk and Operational Control</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MSPL-5105</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People Leadership and Workplace Relations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MSRA-5206</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Resource Allocation and Shift Scheduling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MSOP-5103, MSRC-5104</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MSPC-5207</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Production Performance and Cost Control</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MSOP-5103</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MSCC-5208</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Contractor and Maintenance Coordination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MSRC-5104, MSPL-5105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MSTL-5209</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Team Learning and Operational Improvement</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MSPL-5105, MSOP-5103</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MSIP-5210</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Integrated Mining Supervision Project</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16</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160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MSOP-5103, MSRC-5104, MSPL-5105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96</w:t>
            </w:r>
          </w:p>
        </w:tc>
      </w:tr>
    </w:tbl>
    <w:p w14:paraId="69587798" w14:textId="613F5814" w:rsidR="00484777" w:rsidRPr="008B6C93" w:rsidRDefault="0082754C" w:rsidP="00484777">
      <w:pPr>
        <w:spacing w:before="0" w:after="120"/>
        <w:rPr>
          <w:rFonts w:ascii="Arial" w:hAnsi="Arial" w:eastAsia="Arial" w:cs="Arial"/>
          <w:b/>
          <w:bCs/>
          <w:sz w:val="20"/>
          <w:szCs w:val="20"/>
        </w:rPr>
      </w:pPr>
      <w:r w:rsidRPr="008B6C93">
        <w:rPr>
          <w:rFonts w:ascii="Arial" w:hAnsi="Arial" w:eastAsia="Arial" w:cs="Arial"/>
          <w:b/>
          <w:bCs/>
          <w:sz w:val="20"/>
          <w:lang w:val="en-US"/>
          <w:szCs w:val="20"/>
        </w:rPr>
        <w:lastRenderedPageBreak/>
        <w:t>Learning Time Distribution Framework</w:t>
      </w:r>
      <w:r w:rsidRPr="008B6C93">
        <w:rPr>
          <w:rStyle w:val="FootnoteReference"/>
          <w:rFonts w:ascii="Arial" w:hAnsi="Arial" w:eastAsia="Arial" w:cs="Arial"/>
          <w:b/>
          <w:bCs/>
          <w:sz w:val="20"/>
          <w:lang w:val="en-US"/>
          <w:szCs w:val="20"/>
        </w:rPr>
        <w:footnoteReference w:id="7"/>
      </w:r>
    </w:p>
    <w:p w14:paraId="1136D19D" w14:textId="7F1437EB" w:rsidR="00484777" w:rsidRPr="008B6C93" w:rsidRDefault="00484777" w:rsidP="0082754C">
      <w:pPr>
        <w:spacing w:before="0" w:after="120"/>
        <w:ind w:right="38"/>
        <w:contextualSpacing/>
        <w:jc w:val="both"/>
        <w:rPr>
          <w:rFonts w:ascii="Arial" w:hAnsi="Arial" w:eastAsia="Arial" w:cs="Arial"/>
          <w:sz w:val="20"/>
          <w:szCs w:val="20"/>
        </w:rPr>
      </w:pPr>
      <w:r>
        <w:rPr>
          <w:rFonts w:ascii="Arial" w:hAnsi="Arial" w:eastAsia="Arial" w:cs="Arial"/>
          <w:sz w:val="20"/>
          <w:szCs w:val="20"/>
        </w:rPr>
        <w:t>One credit represents ten notional learning hours. The 120-credit qualification therefore contains 1,200 hours, including learning and assessment. The activity allocation below is the College’s planning model, not a nationally prescribed percentage split.</w:t>
      </w:r>
    </w:p>
    <w:tbl>
      <w:tblPr>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09"/>
        <w:gridCol w:w="3544"/>
        <w:gridCol w:w="2036"/>
        <w:gridCol w:w="8737"/>
      </w:tblGrid>
      <w:tr w:rsidR="0082754C" w:rsidRPr="008B6C93" w14:paraId="633384BA" w14:textId="77777777" w:rsidTr="00484777">
        <w:trPr>
          <w:tblHeader/>
        </w:trPr>
        <w:tc>
          <w:tcPr>
            <w:tcW w:w="709" w:type="dxa"/>
            <w:shd w:val="clear" w:color="auto" w:fill="D9D9D9"/>
            <w:vAlign w:val="top"/>
          </w:tcPr>
          <w:p w14:paraId="552B941E" w14:textId="77777777" w:rsidR="0082754C" w:rsidRPr="008B6C93" w:rsidRDefault="0082754C" w:rsidP="008862B1">
            <w:pPr>
              <w:keepNext/>
              <w:spacing w:line="240" w:lineRule="auto" w:before="40" w:after="40"/>
              <w:contextualSpacing/>
              <w:jc w:val="left"/>
              <w:rPr>
                <w:rFonts w:ascii="Arial" w:hAnsi="Arial" w:eastAsia="Arial" w:cs="Arial"/>
                <w:sz w:val="20"/>
                <w:szCs w:val="20"/>
              </w:rPr>
            </w:pPr>
            <w:r w:rsidRPr="008B6C93">
              <w:rPr>
                <w:rFonts w:ascii="Arial" w:hAnsi="Arial" w:eastAsia="Arial" w:cs="Arial"/>
                <w:b/>
                <w:sz w:val="20"/>
                <w:szCs w:val="20"/>
              </w:rPr>
              <w:t>No</w:t>
            </w:r>
          </w:p>
        </w:tc>
        <w:tc>
          <w:tcPr>
            <w:tcW w:w="3544" w:type="dxa"/>
            <w:shd w:val="clear" w:color="auto" w:fill="D9D9D9"/>
            <w:vAlign w:val="top"/>
          </w:tcPr>
          <w:p w14:paraId="03DE19D2" w14:textId="77777777" w:rsidR="0082754C" w:rsidRPr="008B6C93" w:rsidRDefault="0082754C" w:rsidP="008862B1">
            <w:pPr>
              <w:keepNext/>
              <w:spacing w:line="240" w:lineRule="auto" w:before="40" w:after="40"/>
              <w:ind w:left="567"/>
              <w:contextualSpacing/>
              <w:jc w:val="left"/>
              <w:rPr>
                <w:rFonts w:ascii="Arial" w:hAnsi="Arial" w:eastAsia="Arial" w:cs="Arial"/>
                <w:sz w:val="20"/>
                <w:szCs w:val="20"/>
              </w:rPr>
            </w:pPr>
            <w:r w:rsidRPr="008B6C93">
              <w:rPr>
                <w:rFonts w:ascii="Arial" w:hAnsi="Arial" w:eastAsia="Arial" w:cs="Arial"/>
                <w:b/>
                <w:sz w:val="20"/>
                <w:szCs w:val="20"/>
              </w:rPr>
              <w:t>Learning Activity Category</w:t>
            </w:r>
          </w:p>
        </w:tc>
        <w:tc>
          <w:tcPr>
            <w:tcW w:w="2036" w:type="dxa"/>
            <w:shd w:val="clear" w:color="auto" w:fill="D9D9D9"/>
            <w:vAlign w:val="top"/>
          </w:tcPr>
          <w:p w14:paraId="7A9140D6" w14:textId="77777777" w:rsidR="0082754C" w:rsidRPr="008B6C93" w:rsidRDefault="0082754C" w:rsidP="008862B1">
            <w:pPr>
              <w:keepNext/>
              <w:spacing w:line="240" w:lineRule="auto" w:before="40" w:after="40"/>
              <w:contextualSpacing/>
              <w:jc w:val="left"/>
              <w:rPr>
                <w:rFonts w:ascii="Arial" w:hAnsi="Arial" w:eastAsia="Arial" w:cs="Arial"/>
                <w:sz w:val="20"/>
                <w:szCs w:val="20"/>
              </w:rPr>
            </w:pPr>
            <w:r w:rsidRPr="008B6C93">
              <w:rPr>
                <w:rFonts w:ascii="Arial" w:hAnsi="Arial" w:eastAsia="Arial" w:cs="Arial"/>
                <w:b/>
                <w:sz w:val="20"/>
                <w:szCs w:val="20"/>
              </w:rPr>
              <w:t>% Allocation Per Credit</w:t>
            </w:r>
          </w:p>
        </w:tc>
        <w:tc>
          <w:tcPr>
            <w:tcW w:w="8737" w:type="dxa"/>
            <w:shd w:val="clear" w:color="auto" w:fill="D9D9D9"/>
            <w:vAlign w:val="top"/>
          </w:tcPr>
          <w:p w14:paraId="317150BF" w14:textId="77777777" w:rsidR="0082754C" w:rsidRPr="008B6C93" w:rsidRDefault="0082754C" w:rsidP="008862B1">
            <w:pPr>
              <w:keepNext/>
              <w:spacing w:line="240" w:lineRule="auto" w:before="40" w:after="40"/>
              <w:ind w:left="567"/>
              <w:contextualSpacing/>
              <w:jc w:val="left"/>
              <w:rPr>
                <w:rFonts w:ascii="Arial" w:hAnsi="Arial" w:eastAsia="Arial" w:cs="Arial"/>
                <w:sz w:val="20"/>
                <w:szCs w:val="20"/>
              </w:rPr>
            </w:pPr>
            <w:r w:rsidRPr="008B6C93">
              <w:rPr>
                <w:rFonts w:ascii="Arial" w:hAnsi="Arial" w:eastAsia="Arial" w:cs="Arial"/>
                <w:b/>
                <w:sz w:val="20"/>
                <w:szCs w:val="20"/>
              </w:rPr>
              <w:t>Interpretation</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t>1</w:t>
            </w:r>
          </w:p>
        </w:tc>
        <w:tc>
          <w:tcPr>
            <w:tcW w:w="3544" w:type="dxa"/>
            <w:vAlign w:val="top"/>
          </w:tcPr>
          <w:p>
            <w:pPr>
              <w:spacing w:before="40" w:after="40" w:line="240" w:lineRule="auto"/>
              <w:jc w:val="left"/>
            </w:pPr>
            <w:r>
              <w:rPr>
                <w:rFonts w:ascii="Arial" w:hAnsi="Arial" w:eastAsia="Arial" w:cs="Arial"/>
                <w:b w:val="0"/>
                <w:sz w:val="20"/>
                <w:szCs w:val="20"/>
              </w:rPr>
              <w:t>Taught contact learning</w:t>
            </w:r>
          </w:p>
        </w:tc>
        <w:tc>
          <w:tcPr>
            <w:tcW w:w="2036" w:type="dxa"/>
            <w:vAlign w:val="top"/>
          </w:tcPr>
          <w:p>
            <w:pPr>
              <w:spacing w:before="40" w:after="40" w:line="240" w:lineRule="auto"/>
              <w:jc w:val="left"/>
            </w:pPr>
            <w:r>
              <w:rPr>
                <w:rFonts w:ascii="Arial" w:hAnsi="Arial" w:eastAsia="Arial" w:cs="Arial"/>
                <w:b w:val="0"/>
                <w:sz w:val="20"/>
                <w:szCs w:val="20"/>
              </w:rPr>
              <w:t>30% | 360 hours</w:t>
            </w:r>
          </w:p>
        </w:tc>
        <w:tc>
          <w:tcPr>
            <w:tcW w:w="8737" w:type="dxa"/>
            <w:vAlign w:val="top"/>
          </w:tcPr>
          <w:p>
            <w:pPr>
              <w:spacing w:before="40" w:after="40" w:line="240" w:lineRule="auto"/>
              <w:jc w:val="left"/>
            </w:pPr>
            <w:r>
              <w:rPr>
                <w:rFonts w:ascii="Arial" w:hAnsi="Arial" w:eastAsia="Arial" w:cs="Arial"/>
                <w:b w:val="0"/>
                <w:sz w:val="20"/>
                <w:szCs w:val="20"/>
              </w:rPr>
              <w:t>Lectures, seminars, tutorials and structured workshops.</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t>2</w:t>
            </w:r>
          </w:p>
        </w:tc>
        <w:tc>
          <w:tcPr>
            <w:tcW w:w="3544" w:type="dxa"/>
            <w:vAlign w:val="top"/>
          </w:tcPr>
          <w:p>
            <w:pPr>
              <w:spacing w:before="40" w:after="40" w:line="240" w:lineRule="auto"/>
              <w:jc w:val="left"/>
            </w:pPr>
            <w:r>
              <w:rPr>
                <w:rFonts w:ascii="Arial" w:hAnsi="Arial" w:eastAsia="Arial" w:cs="Arial"/>
                <w:b w:val="0"/>
                <w:sz w:val="20"/>
                <w:szCs w:val="20"/>
              </w:rPr>
              <w:t>Guided practical contact learning / directed learning</w:t>
            </w:r>
          </w:p>
        </w:tc>
        <w:tc>
          <w:tcPr>
            <w:tcW w:w="2036" w:type="dxa"/>
            <w:vAlign w:val="top"/>
          </w:tcPr>
          <w:p>
            <w:pPr>
              <w:spacing w:before="40" w:after="40" w:line="240" w:lineRule="auto"/>
              <w:jc w:val="left"/>
            </w:pPr>
            <w:r>
              <w:rPr>
                <w:rFonts w:ascii="Arial" w:hAnsi="Arial" w:eastAsia="Arial" w:cs="Arial"/>
                <w:b w:val="0"/>
                <w:sz w:val="20"/>
                <w:szCs w:val="20"/>
              </w:rPr>
              <w:t>30% | 360 hours</w:t>
            </w:r>
          </w:p>
        </w:tc>
        <w:tc>
          <w:tcPr>
            <w:tcW w:w="8737" w:type="dxa"/>
            <w:vAlign w:val="top"/>
          </w:tcPr>
          <w:p>
            <w:pPr>
              <w:spacing w:before="40" w:after="40" w:line="240" w:lineRule="auto"/>
              <w:jc w:val="left"/>
            </w:pPr>
            <w:r>
              <w:rPr>
                <w:rFonts w:ascii="Arial" w:hAnsi="Arial" w:eastAsia="Arial" w:cs="Arial"/>
                <w:b w:val="0"/>
                <w:sz w:val="20"/>
                <w:szCs w:val="20"/>
              </w:rPr>
              <w:t>Supervised exercises, practical activities and simulations within the programme safety boundaries.</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t>3</w:t>
            </w:r>
          </w:p>
        </w:tc>
        <w:tc>
          <w:tcPr>
            <w:tcW w:w="3544" w:type="dxa"/>
            <w:vAlign w:val="top"/>
          </w:tcPr>
          <w:p>
            <w:pPr>
              <w:spacing w:before="40" w:after="40" w:line="240" w:lineRule="auto"/>
              <w:jc w:val="left"/>
            </w:pPr>
            <w:r>
              <w:rPr>
                <w:rFonts w:ascii="Arial" w:hAnsi="Arial" w:eastAsia="Arial" w:cs="Arial"/>
                <w:b w:val="0"/>
                <w:sz w:val="20"/>
                <w:szCs w:val="20"/>
              </w:rPr>
              <w:t>Independent learning</w:t>
            </w:r>
          </w:p>
        </w:tc>
        <w:tc>
          <w:tcPr>
            <w:tcW w:w="2036" w:type="dxa"/>
            <w:vAlign w:val="top"/>
          </w:tcPr>
          <w:p>
            <w:pPr>
              <w:spacing w:before="40" w:after="40" w:line="240" w:lineRule="auto"/>
              <w:jc w:val="left"/>
            </w:pPr>
            <w:r>
              <w:rPr>
                <w:rFonts w:ascii="Arial" w:hAnsi="Arial" w:eastAsia="Arial" w:cs="Arial"/>
                <w:b w:val="0"/>
                <w:sz w:val="20"/>
                <w:szCs w:val="20"/>
              </w:rPr>
              <w:t>30% | 360 hours</w:t>
            </w:r>
          </w:p>
        </w:tc>
        <w:tc>
          <w:tcPr>
            <w:tcW w:w="8737" w:type="dxa"/>
            <w:vAlign w:val="top"/>
          </w:tcPr>
          <w:p>
            <w:pPr>
              <w:spacing w:before="40" w:after="40" w:line="240" w:lineRule="auto"/>
              <w:jc w:val="left"/>
            </w:pPr>
            <w:r>
              <w:rPr>
                <w:rFonts w:ascii="Arial" w:hAnsi="Arial" w:eastAsia="Arial" w:cs="Arial"/>
                <w:b w:val="0"/>
                <w:sz w:val="20"/>
                <w:szCs w:val="20"/>
              </w:rPr>
              <w:t>Reading, preparation, research and independent practice.</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t>4</w:t>
            </w:r>
          </w:p>
        </w:tc>
        <w:tc>
          <w:tcPr>
            <w:tcW w:w="3544" w:type="dxa"/>
            <w:vAlign w:val="top"/>
          </w:tcPr>
          <w:p>
            <w:pPr>
              <w:spacing w:before="40" w:after="40" w:line="240" w:lineRule="auto"/>
              <w:jc w:val="left"/>
            </w:pPr>
            <w:r>
              <w:rPr>
                <w:rFonts w:ascii="Arial" w:hAnsi="Arial" w:eastAsia="Arial" w:cs="Arial"/>
                <w:b w:val="0"/>
                <w:sz w:val="20"/>
                <w:szCs w:val="20"/>
              </w:rPr>
              <w:t>Assessment</w:t>
            </w:r>
          </w:p>
        </w:tc>
        <w:tc>
          <w:tcPr>
            <w:tcW w:w="2036" w:type="dxa"/>
            <w:vAlign w:val="top"/>
          </w:tcPr>
          <w:p>
            <w:pPr>
              <w:spacing w:before="40" w:after="40" w:line="240" w:lineRule="auto"/>
              <w:jc w:val="left"/>
            </w:pPr>
            <w:r>
              <w:rPr>
                <w:rFonts w:ascii="Arial" w:hAnsi="Arial" w:eastAsia="Arial" w:cs="Arial"/>
                <w:b w:val="0"/>
                <w:sz w:val="20"/>
                <w:szCs w:val="20"/>
              </w:rPr>
              <w:t>10% | 120 hours</w:t>
            </w:r>
          </w:p>
        </w:tc>
        <w:tc>
          <w:tcPr>
            <w:tcW w:w="8737" w:type="dxa"/>
            <w:vAlign w:val="top"/>
          </w:tcPr>
          <w:p>
            <w:pPr>
              <w:spacing w:before="40" w:after="40" w:line="240" w:lineRule="auto"/>
              <w:jc w:val="left"/>
            </w:pPr>
            <w:r>
              <w:rPr>
                <w:rFonts w:ascii="Arial" w:hAnsi="Arial" w:eastAsia="Arial" w:cs="Arial"/>
                <w:b w:val="0"/>
                <w:sz w:val="20"/>
                <w:szCs w:val="20"/>
              </w:rPr>
              <w:t>Preparation and completion of assessments; recorded separately from contact hours.</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r>
          </w:p>
        </w:tc>
        <w:tc>
          <w:tcPr>
            <w:tcW w:w="3544" w:type="dxa"/>
            <w:vAlign w:val="top"/>
          </w:tcPr>
          <w:p>
            <w:pPr>
              <w:spacing w:before="40" w:after="40" w:line="240" w:lineRule="auto"/>
              <w:jc w:val="left"/>
            </w:pPr>
            <w:r>
              <w:rPr>
                <w:rFonts w:ascii="Arial" w:hAnsi="Arial" w:eastAsia="Arial" w:cs="Arial"/>
                <w:b w:val="0"/>
                <w:sz w:val="20"/>
                <w:szCs w:val="20"/>
              </w:rPr>
              <w:t>Total</w:t>
            </w:r>
          </w:p>
        </w:tc>
        <w:tc>
          <w:tcPr>
            <w:tcW w:w="2036" w:type="dxa"/>
            <w:vAlign w:val="top"/>
          </w:tcPr>
          <w:p>
            <w:pPr>
              <w:spacing w:before="40" w:after="40" w:line="240" w:lineRule="auto"/>
              <w:jc w:val="left"/>
            </w:pPr>
            <w:r>
              <w:rPr>
                <w:rFonts w:ascii="Arial" w:hAnsi="Arial" w:eastAsia="Arial" w:cs="Arial"/>
                <w:b w:val="0"/>
                <w:sz w:val="20"/>
                <w:szCs w:val="20"/>
              </w:rPr>
              <w:t>100% | 1,200 hours</w:t>
            </w:r>
          </w:p>
        </w:tc>
        <w:tc>
          <w:tcPr>
            <w:tcW w:w="8737" w:type="dxa"/>
            <w:vAlign w:val="top"/>
          </w:tcPr>
          <w:p>
            <w:pPr>
              <w:spacing w:before="40" w:after="40" w:line="240" w:lineRule="auto"/>
              <w:jc w:val="left"/>
            </w:pPr>
            <w:r>
              <w:rPr>
                <w:rFonts w:ascii="Arial" w:hAnsi="Arial" w:eastAsia="Arial" w:cs="Arial"/>
                <w:b w:val="0"/>
                <w:sz w:val="20"/>
                <w:szCs w:val="20"/>
              </w:rPr>
              <w:t>720 contact hours; 480 independent-learning and assessment hours.</w:t>
            </w:r>
          </w:p>
        </w:tc>
      </w:tr>
    </w:tbl>
    <w:p w14:paraId="14485BC9" w14:textId="77777777" w:rsidR="006F54F2" w:rsidRPr="008B6C93" w:rsidRDefault="006F54F2" w:rsidP="006F54F2">
      <w:pPr>
        <w:pStyle w:val="Heading1"/>
        <w:spacing w:before="0" w:after="120"/>
        <w:rPr>
          <w:rFonts w:ascii="Arial" w:hAnsi="Arial" w:eastAsia="Arial" w:cs="Arial"/>
          <w:sz w:val="20"/>
          <w:szCs w:val="20"/>
        </w:rPr>
      </w:pPr>
      <w:r w:rsidRPr="008B6C93">
        <w:rPr>
          <w:rFonts w:ascii="Arial" w:hAnsi="Arial" w:eastAsia="Arial" w:cs="Arial"/>
          <w:sz w:val="20"/>
          <w:szCs w:val="20"/>
        </w:rPr>
        <w:t>Credit weighting rationale</w:t>
      </w:r>
    </w:p>
    <w:p w14:paraId="36F5E28C" w14:textId="77777777" w:rsidR="006F54F2" w:rsidRPr="008B6C93" w:rsidRDefault="006F54F2" w:rsidP="00484777">
      <w:pPr>
        <w:spacing w:before="0" w:after="120"/>
        <w:jc w:val="both"/>
        <w:rPr>
          <w:rFonts w:ascii="Arial" w:hAnsi="Arial" w:eastAsia="Arial" w:cs="Arial"/>
          <w:sz w:val="20"/>
          <w:szCs w:val="20"/>
        </w:rPr>
      </w:pPr>
      <w:r>
        <w:rPr>
          <w:rFonts w:ascii="Arial" w:hAnsi="Arial" w:eastAsia="Arial" w:cs="Arial"/>
          <w:sz w:val="20"/>
          <w:szCs w:val="20"/>
        </w:rPr>
        <w:t>The two shared 10-credit foundations support academic communication and secure information use. Semester 1 assigns 40 further credits to three discipline foundations. Semester 2 assigns 44 credits to four applied modules and 16 to the integrated project. Greater credit is allocated to repeated technical analysis and integrated evidence rather than title complexity.</w:t>
      </w:r>
    </w:p>
    <w:p w14:paraId="1200D500" w14:textId="77777777" w:rsidR="006F54F2" w:rsidRPr="008B6C93" w:rsidRDefault="006F54F2" w:rsidP="00484777">
      <w:pPr>
        <w:spacing w:before="0" w:after="120"/>
        <w:jc w:val="both"/>
        <w:rPr>
          <w:rFonts w:ascii="Arial" w:hAnsi="Arial" w:eastAsia="Arial" w:cs="Arial"/>
          <w:sz w:val="20"/>
          <w:szCs w:val="20"/>
        </w:rPr>
      </w:pPr>
      <w:r>
        <w:rPr>
          <w:rFonts w:ascii="Arial" w:hAnsi="Arial" w:eastAsia="Arial" w:cs="Arial"/>
          <w:sz w:val="20"/>
          <w:szCs w:val="20"/>
        </w:rPr>
        <w:t>Module allocations use the same percentages: a 10-credit module has 30 taught, 30 guided practical, 30 independent and 10 assessment hours; a 12-credit module has 36, 36, 36 and 12 hours; a 14-credit module has 42, 42, 42 and 14 hours; a 16-credit module has 48, 48, 48 and 16 hours. Each semester totals 600 notional hours, including 360 contact hours.</w:t>
      </w:r>
    </w:p>
    <w:p w14:paraId="7A2ED4AF" w14:textId="77777777" w:rsidR="00274B8B" w:rsidRPr="008B6C93" w:rsidRDefault="00274B8B" w:rsidP="00274B8B">
      <w:pPr>
        <w:pStyle w:val="Heading2"/>
        <w:spacing w:before="0" w:after="120"/>
        <w:contextualSpacing/>
        <w:rPr>
          <w:rFonts w:ascii="Arial" w:hAnsi="Arial" w:eastAsia="Arial" w:cs="Arial"/>
          <w:sz w:val="20"/>
          <w:szCs w:val="20"/>
        </w:rPr>
      </w:pPr>
      <w:r>
        <w:rPr>
          <w:rFonts w:ascii="Arial" w:hAnsi="Arial" w:eastAsia="Arial" w:cs="Arial"/>
          <w:sz w:val="20"/>
          <w:szCs w:val="20"/>
        </w:rPr>
        <w:t>Year 1 (Semesters 1 and 2) 120 Credits</w:t>
      </w:r>
    </w:p>
    <w:tbl>
      <w:tblPr>
        <w:tblW w:w="1505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567"/>
        <w:gridCol w:w="1589"/>
        <w:gridCol w:w="5782"/>
        <w:gridCol w:w="857"/>
        <w:gridCol w:w="1003"/>
        <w:gridCol w:w="1134"/>
        <w:gridCol w:w="1433"/>
        <w:gridCol w:w="1417"/>
        <w:gridCol w:w="1276"/>
      </w:tblGrid>
      <w:tr w:rsidR="00274B8B" w:rsidRPr="008B6C93" w14:paraId="40C73936" w14:textId="77777777" w:rsidTr="00484777">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vAlign w:val="top"/>
          </w:tcPr>
          <w:p w14:paraId="761AC4A1"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1589" w:type="dxa"/>
            <w:tcBorders>
              <w:top w:val="single" w:sz="4" w:space="0" w:color="000000"/>
              <w:left w:val="single" w:sz="4" w:space="0" w:color="000000"/>
              <w:bottom w:val="single" w:sz="4" w:space="0" w:color="000000"/>
              <w:right w:val="single" w:sz="4" w:space="0" w:color="000000"/>
            </w:tcBorders>
            <w:shd w:val="clear" w:color="auto" w:fill="BFBFBF"/>
            <w:vAlign w:val="top"/>
          </w:tcPr>
          <w:p w14:paraId="7BF64733"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Code</w:t>
            </w:r>
          </w:p>
        </w:tc>
        <w:tc>
          <w:tcPr>
            <w:tcW w:w="578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32167354" w14:textId="77777777" w:rsidR="00274B8B" w:rsidRPr="008B6C93" w:rsidRDefault="00274B8B"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 xml:space="preserve">Module Title </w:t>
            </w:r>
          </w:p>
        </w:tc>
        <w:tc>
          <w:tcPr>
            <w:tcW w:w="85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2253247A" w14:textId="77777777" w:rsidR="00274B8B" w:rsidRPr="008B6C93" w:rsidRDefault="00274B8B"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Level</w:t>
            </w:r>
          </w:p>
        </w:tc>
        <w:tc>
          <w:tcPr>
            <w:tcW w:w="10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6AAB1051" w14:textId="77777777" w:rsidR="00274B8B" w:rsidRPr="008B6C93" w:rsidRDefault="00274B8B"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Credits</w:t>
            </w:r>
          </w:p>
        </w:tc>
        <w:tc>
          <w:tcPr>
            <w:tcW w:w="1134" w:type="dxa"/>
            <w:tcBorders>
              <w:top w:val="single" w:sz="4" w:space="0" w:color="000000"/>
              <w:left w:val="single" w:sz="4" w:space="0" w:color="000000"/>
              <w:bottom w:val="single" w:sz="4" w:space="0" w:color="000000"/>
              <w:right w:val="single" w:sz="4" w:space="0" w:color="000000"/>
            </w:tcBorders>
            <w:shd w:val="clear" w:color="auto" w:fill="BFBFBF"/>
            <w:vAlign w:val="top"/>
          </w:tcPr>
          <w:p w14:paraId="3F9DF5E0"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Notional Hours </w:t>
            </w:r>
          </w:p>
        </w:tc>
        <w:tc>
          <w:tcPr>
            <w:tcW w:w="1433" w:type="dxa"/>
            <w:tcBorders>
              <w:top w:val="single" w:sz="4" w:space="0" w:color="000000"/>
              <w:left w:val="single" w:sz="4" w:space="0" w:color="000000"/>
              <w:bottom w:val="single" w:sz="4" w:space="0" w:color="000000"/>
              <w:right w:val="single" w:sz="4" w:space="0" w:color="000000"/>
            </w:tcBorders>
            <w:shd w:val="clear" w:color="auto" w:fill="BFBFBF"/>
            <w:vAlign w:val="top"/>
          </w:tcPr>
          <w:p w14:paraId="29EE7548"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Pre-requisites</w:t>
            </w:r>
          </w:p>
        </w:tc>
        <w:tc>
          <w:tcPr>
            <w:tcW w:w="1417" w:type="dxa"/>
            <w:tcBorders>
              <w:top w:val="single" w:sz="4" w:space="0" w:color="000000"/>
              <w:left w:val="single" w:sz="4" w:space="0" w:color="000000"/>
              <w:bottom w:val="single" w:sz="4" w:space="0" w:color="000000"/>
              <w:right w:val="single" w:sz="4" w:space="0" w:color="000000"/>
            </w:tcBorders>
            <w:shd w:val="clear" w:color="auto" w:fill="BFBFBF"/>
            <w:vAlign w:val="top"/>
          </w:tcPr>
          <w:p w14:paraId="3C161C01"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Compulsory/ Elective</w:t>
            </w:r>
          </w:p>
        </w:tc>
        <w:tc>
          <w:tcPr>
            <w:tcW w:w="1276" w:type="dxa"/>
            <w:tcBorders>
              <w:top w:val="single" w:sz="4" w:space="0" w:color="000000"/>
              <w:left w:val="single" w:sz="4" w:space="0" w:color="000000"/>
              <w:bottom w:val="single" w:sz="4" w:space="0" w:color="000000"/>
              <w:right w:val="single" w:sz="4" w:space="0" w:color="000000"/>
            </w:tcBorders>
            <w:shd w:val="clear" w:color="auto" w:fill="BFBFBF"/>
            <w:vAlign w:val="top"/>
          </w:tcPr>
          <w:p w14:paraId="373D2BD4"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Contact Hours </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English for Communication and Academic Writing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Principles of Information Systems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MSOP-5103</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Mining Operations and Production Planning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MSRC-5104</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Mining Risk and Operational Control</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MSPL-5105</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People Leadership and Workplace Relations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Semester 1 total</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60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MSRA-5206</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Resource Allocation and Shift Scheduling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MSOP-5103, MSRC-5104</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MSPC-5207</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Production Performance and Cost Control</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MSOP-5103</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MSCC-5208</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Contractor and Maintenance Coordination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MSRC-5104, MSPL-5105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MSTL-5209</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Team Learning and Operational Improvement</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MSPL-5105, MSOP-5103</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MSIP-5210</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Integrated Mining Supervision Project</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16</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160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MSOP-5103, MSRC-5104, MSPL-5105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96</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Semester 2 total</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60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Year total</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720</w:t>
            </w:r>
          </w:p>
        </w:tc>
      </w:tr>
    </w:tbl>
    <w:p w14:paraId="0C9746FE" w14:textId="77777777" w:rsidR="00C65B51" w:rsidRPr="008B6C93" w:rsidRDefault="00C65B51">
      <w:pPr>
        <w:spacing w:before="0" w:after="120"/>
        <w:rPr>
          <w:rFonts w:ascii="Arial" w:hAnsi="Arial" w:eastAsia="Arial" w:cs="Arial"/>
          <w:sz w:val="20"/>
          <w:szCs w:val="20"/>
        </w:rPr>
        <w:sectPr w:rsidR="00C65B51" w:rsidRPr="008B6C93">
          <w:pgSz w:w="16838" w:h="11906" w:orient="landscape"/>
          <w:pgMar w:top="850" w:right="907" w:bottom="850" w:left="907" w:header="397" w:footer="397" w:gutter="0"/>
          <w:cols w:space="720"/>
          <w:docGrid w:linePitch="360"/>
        </w:sectPr>
      </w:pPr>
    </w:p>
    <w:p w14:paraId="228B2F81" w14:textId="77777777" w:rsidR="00C65B51" w:rsidRPr="008B6C93" w:rsidRDefault="00000000">
      <w:pPr>
        <w:pStyle w:val="Heading1"/>
        <w:spacing w:before="0" w:after="120"/>
        <w:rPr>
          <w:rFonts w:ascii="Arial" w:hAnsi="Arial" w:eastAsia="Arial" w:cs="Arial"/>
          <w:sz w:val="20"/>
          <w:szCs w:val="20"/>
          <w:u w:val="single"/>
        </w:rPr>
      </w:pPr>
      <w:r w:rsidRPr="008B6C93">
        <w:rPr>
          <w:rFonts w:ascii="Arial" w:hAnsi="Arial" w:eastAsia="Arial" w:cs="Arial"/>
          <w:sz w:val="20"/>
          <w:szCs w:val="20"/>
          <w:u w:val="single"/>
        </w:rPr>
        <w:lastRenderedPageBreak/>
        <w:t>Qualification Structure by Outcomes and Fields of Learning</w:t>
      </w:r>
    </w:p>
    <w:p w14:paraId="50AA284D" w14:textId="77777777" w:rsidR="00C65B51" w:rsidRPr="008B6C93" w:rsidRDefault="00000000">
      <w:pPr>
        <w:keepNext/>
        <w:spacing w:before="0" w:after="120"/>
        <w:rPr>
          <w:rFonts w:ascii="Arial" w:hAnsi="Arial" w:eastAsia="Arial" w:cs="Arial"/>
          <w:b/>
          <w:sz w:val="20"/>
          <w:szCs w:val="20"/>
        </w:rPr>
      </w:pPr>
      <w:r w:rsidRPr="008B6C93">
        <w:rPr>
          <w:rFonts w:ascii="Arial" w:hAnsi="Arial" w:eastAsia="Arial" w:cs="Arial"/>
          <w:b/>
          <w:sz w:val="20"/>
          <w:szCs w:val="20"/>
        </w:rPr>
        <w:t>Qualification outcomes</w:t>
      </w:r>
    </w:p>
    <w:tbl>
      <w:tblPr>
        <w:tblStyle w:val="TableGrid"/>
        <w:tblW w:w="0" w:type="auto"/>
        <w:tblInd w:w="108" w:type="dxa"/>
        <w:tblLook w:val="04A0" w:firstRow="1" w:lastRow="0" w:firstColumn="1" w:lastColumn="0" w:noHBand="0" w:noVBand="1"/>
      </w:tblPr>
      <w:tblGrid>
        <w:gridCol w:w="709"/>
        <w:gridCol w:w="14423"/>
      </w:tblGrid>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EO1</w:t>
            </w:r>
          </w:p>
        </w:tc>
        <w:tc>
          <w:tcPr>
            <w:tcW w:w="14423" w:type="dxa"/>
            <w:vAlign w:val="top"/>
          </w:tcPr>
          <w:p>
            <w:pPr>
              <w:spacing w:before="40" w:after="40" w:line="240" w:lineRule="auto"/>
              <w:jc w:val="left"/>
            </w:pPr>
            <w:r>
              <w:rPr>
                <w:rFonts w:ascii="Arial" w:hAnsi="Arial" w:eastAsia="Arial" w:cs="Arial"/>
                <w:b w:val="0"/>
                <w:sz w:val="20"/>
                <w:szCs w:val="20"/>
              </w:rPr>
              <w:t>Interpret mine production plans and translate them into bounded team assignments.</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EO2</w:t>
            </w:r>
          </w:p>
        </w:tc>
        <w:tc>
          <w:tcPr>
            <w:tcW w:w="14423" w:type="dxa"/>
            <w:vAlign w:val="top"/>
          </w:tcPr>
          <w:p>
            <w:pPr>
              <w:spacing w:before="40" w:after="40" w:line="240" w:lineRule="auto"/>
              <w:jc w:val="left"/>
            </w:pPr>
            <w:r>
              <w:rPr>
                <w:rFonts w:ascii="Arial" w:hAnsi="Arial" w:eastAsia="Arial" w:cs="Arial"/>
                <w:b w:val="0"/>
                <w:sz w:val="20"/>
                <w:szCs w:val="20"/>
              </w:rPr>
              <w:t>Coordinate resources and controls to maintain safe work and production continuity.</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EO3</w:t>
            </w:r>
          </w:p>
        </w:tc>
        <w:tc>
          <w:tcPr>
            <w:tcW w:w="14423" w:type="dxa"/>
            <w:vAlign w:val="top"/>
          </w:tcPr>
          <w:p>
            <w:pPr>
              <w:spacing w:before="40" w:after="40" w:line="240" w:lineRule="auto"/>
              <w:jc w:val="left"/>
            </w:pPr>
            <w:r>
              <w:rPr>
                <w:rFonts w:ascii="Arial" w:hAnsi="Arial" w:eastAsia="Arial" w:cs="Arial"/>
                <w:b w:val="0"/>
                <w:sz w:val="20"/>
                <w:szCs w:val="20"/>
              </w:rPr>
              <w:t>Use operational data to analyse losses and justify practical improvements.</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EO4</w:t>
            </w:r>
          </w:p>
        </w:tc>
        <w:tc>
          <w:tcPr>
            <w:tcW w:w="14423" w:type="dxa"/>
            <w:vAlign w:val="top"/>
          </w:tcPr>
          <w:p>
            <w:pPr>
              <w:spacing w:before="40" w:after="40" w:line="240" w:lineRule="auto"/>
              <w:jc w:val="left"/>
            </w:pPr>
            <w:r>
              <w:rPr>
                <w:rFonts w:ascii="Arial" w:hAnsi="Arial" w:eastAsia="Arial" w:cs="Arial"/>
                <w:b w:val="0"/>
                <w:sz w:val="20"/>
                <w:szCs w:val="20"/>
              </w:rPr>
              <w:t>Apply fair communication, coaching and conflict-resolution procedures.</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EO5</w:t>
            </w:r>
          </w:p>
        </w:tc>
        <w:tc>
          <w:tcPr>
            <w:tcW w:w="14423" w:type="dxa"/>
            <w:vAlign w:val="top"/>
          </w:tcPr>
          <w:p>
            <w:pPr>
              <w:spacing w:before="40" w:after="40" w:line="240" w:lineRule="auto"/>
              <w:jc w:val="left"/>
            </w:pPr>
            <w:r>
              <w:rPr>
                <w:rFonts w:ascii="Arial" w:hAnsi="Arial" w:eastAsia="Arial" w:cs="Arial"/>
                <w:b w:val="0"/>
                <w:sz w:val="20"/>
                <w:szCs w:val="20"/>
              </w:rPr>
              <w:t>Maintain auditable records and protect operational information.</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EO6</w:t>
            </w:r>
          </w:p>
        </w:tc>
        <w:tc>
          <w:tcPr>
            <w:tcW w:w="14423" w:type="dxa"/>
            <w:vAlign w:val="top"/>
          </w:tcPr>
          <w:p>
            <w:pPr>
              <w:spacing w:before="40" w:after="40" w:line="240" w:lineRule="auto"/>
              <w:jc w:val="left"/>
            </w:pPr>
            <w:r>
              <w:rPr>
                <w:rFonts w:ascii="Arial" w:hAnsi="Arial" w:eastAsia="Arial" w:cs="Arial"/>
                <w:b w:val="0"/>
                <w:sz w:val="20"/>
                <w:szCs w:val="20"/>
              </w:rPr>
              <w:t>Produce and defend an integrated shift-management and improvement plan.</w:t>
            </w:r>
          </w:p>
        </w:tc>
      </w:tr>
    </w:tbl>
    <w:p w14:paraId="77DF3E76" w14:textId="77777777" w:rsidR="00C65B51" w:rsidRPr="008B6C93" w:rsidRDefault="00000000">
      <w:pPr>
        <w:pStyle w:val="Heading1"/>
        <w:spacing w:before="0" w:after="120"/>
        <w:rPr>
          <w:rFonts w:ascii="Arial" w:hAnsi="Arial" w:eastAsia="Arial" w:cs="Arial"/>
          <w:sz w:val="20"/>
          <w:szCs w:val="20"/>
        </w:rPr>
      </w:pPr>
      <w:r w:rsidRPr="008B6C93">
        <w:rPr>
          <w:rFonts w:ascii="Arial" w:hAnsi="Arial" w:eastAsia="Arial" w:cs="Arial"/>
          <w:sz w:val="20"/>
          <w:szCs w:val="20"/>
        </w:rPr>
        <w:t>Fields of Learning in the Republic of Namibia</w:t>
      </w:r>
    </w:p>
    <w:tbl>
      <w:tblPr>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67"/>
        <w:gridCol w:w="14459"/>
      </w:tblGrid>
      <w:tr w:rsidR="00484777" w:rsidRPr="008B6C93" w14:paraId="32767CB0" w14:textId="77777777" w:rsidTr="00484777">
        <w:trPr>
          <w:tblHeader/>
        </w:trPr>
        <w:tc>
          <w:tcPr>
            <w:tcW w:w="567" w:type="dxa"/>
            <w:shd w:val="clear" w:color="auto" w:fill="D9D9D9"/>
            <w:vAlign w:val="top"/>
          </w:tcPr>
          <w:p w14:paraId="59F6E304" w14:textId="77777777" w:rsidR="00484777" w:rsidRPr="008B6C93" w:rsidRDefault="00484777" w:rsidP="008862B1">
            <w:pPr>
              <w:pStyle w:val="ListParagraph"/>
              <w:keepNext/>
              <w:spacing w:line="240" w:lineRule="auto" w:before="40" w:after="40"/>
              <w:ind w:left="0" w:hanging="68"/>
              <w:rPr>
                <w:rFonts w:ascii="Arial" w:hAnsi="Arial" w:eastAsia="Arial" w:cs="Arial"/>
                <w:lang w:val="en-US"/>
                <w:sz w:val="20"/>
                <w:szCs w:val="20"/>
              </w:rPr>
            </w:pPr>
            <w:r w:rsidRPr="008B6C93">
              <w:rPr>
                <w:rFonts w:ascii="Arial" w:hAnsi="Arial" w:eastAsia="Arial" w:cs="Arial"/>
                <w:lang w:val="en-US"/>
                <w:sz w:val="20"/>
                <w:szCs w:val="20"/>
              </w:rPr>
              <w:t>No</w:t>
            </w:r>
          </w:p>
        </w:tc>
        <w:tc>
          <w:tcPr>
            <w:tcW w:w="14459" w:type="dxa"/>
            <w:shd w:val="clear" w:color="auto" w:fill="D9D9D9"/>
            <w:vAlign w:val="top"/>
          </w:tcPr>
          <w:p w14:paraId="6F6FE379" w14:textId="083C77E8" w:rsidR="00484777" w:rsidRPr="008B6C93" w:rsidRDefault="00484777" w:rsidP="008862B1">
            <w:pPr>
              <w:pStyle w:val="ListParagraph"/>
              <w:keepNext/>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 xml:space="preserve">NQF </w:t>
            </w:r>
            <w:r w:rsidRPr="008B6C93">
              <w:rPr>
                <w:rFonts w:ascii="Arial" w:hAnsi="Arial" w:eastAsia="Arial" w:cs="Arial"/>
                <w:sz w:val="20"/>
                <w:szCs w:val="20"/>
              </w:rPr>
              <w:t xml:space="preserve">Broad </w:t>
            </w:r>
            <w:r w:rsidRPr="008B6C93">
              <w:rPr>
                <w:rFonts w:ascii="Arial" w:hAnsi="Arial" w:eastAsia="Arial" w:cs="Arial"/>
                <w:lang w:val="en-US"/>
                <w:sz w:val="20"/>
                <w:szCs w:val="20"/>
              </w:rPr>
              <w:t xml:space="preserve">Field(s) </w:t>
            </w:r>
          </w:p>
        </w:tc>
      </w:tr>
      <w:tr w:rsidR="00484777" w:rsidRPr="008B6C93" w14:paraId="2BF09E3E" w14:textId="77777777" w:rsidTr="00484777">
        <w:trPr/>
        <w:tc>
          <w:tcPr>
            <w:tcW w:w="567" w:type="dxa"/>
            <w:vAlign w:val="top"/>
          </w:tcPr>
          <w:p w14:paraId="069A3CCA"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1</w:t>
            </w:r>
          </w:p>
        </w:tc>
        <w:tc>
          <w:tcPr>
            <w:tcW w:w="14459" w:type="dxa"/>
            <w:vAlign w:val="top"/>
          </w:tcPr>
          <w:p w14:paraId="661AC47B" w14:textId="0C0258B3"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Agriculture and Nature Conservation</w:t>
            </w:r>
          </w:p>
        </w:tc>
      </w:tr>
      <w:tr w:rsidR="00484777" w:rsidRPr="008B6C93" w14:paraId="49BF5576" w14:textId="77777777" w:rsidTr="00484777">
        <w:trPr/>
        <w:tc>
          <w:tcPr>
            <w:tcW w:w="567" w:type="dxa"/>
            <w:vAlign w:val="top"/>
          </w:tcPr>
          <w:p w14:paraId="48F37828"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2</w:t>
            </w:r>
          </w:p>
        </w:tc>
        <w:tc>
          <w:tcPr>
            <w:tcW w:w="14459" w:type="dxa"/>
            <w:vAlign w:val="top"/>
          </w:tcPr>
          <w:p w14:paraId="3F5562E2" w14:textId="2029780C"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Business, Commerce and Management Studies</w:t>
            </w:r>
          </w:p>
        </w:tc>
      </w:tr>
      <w:tr w:rsidR="00484777" w:rsidRPr="008B6C93" w14:paraId="2F93D6D7" w14:textId="77777777" w:rsidTr="00484777">
        <w:trPr/>
        <w:tc>
          <w:tcPr>
            <w:tcW w:w="567" w:type="dxa"/>
            <w:vAlign w:val="top"/>
          </w:tcPr>
          <w:p w14:paraId="4C3E7625"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3</w:t>
            </w:r>
          </w:p>
        </w:tc>
        <w:tc>
          <w:tcPr>
            <w:tcW w:w="14459" w:type="dxa"/>
            <w:vAlign w:val="top"/>
          </w:tcPr>
          <w:p w14:paraId="134740F6" w14:textId="71EF337B"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Communication Studies and Language</w:t>
            </w:r>
          </w:p>
        </w:tc>
      </w:tr>
      <w:tr w:rsidR="00484777" w:rsidRPr="008B6C93" w14:paraId="091A200B" w14:textId="77777777" w:rsidTr="00484777">
        <w:trPr/>
        <w:tc>
          <w:tcPr>
            <w:tcW w:w="567" w:type="dxa"/>
            <w:vAlign w:val="top"/>
          </w:tcPr>
          <w:p w14:paraId="55A5B5CB"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4</w:t>
            </w:r>
          </w:p>
        </w:tc>
        <w:tc>
          <w:tcPr>
            <w:tcW w:w="14459" w:type="dxa"/>
            <w:vAlign w:val="top"/>
          </w:tcPr>
          <w:p w14:paraId="513C15B8" w14:textId="0096EEB2"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Culture and the Arts</w:t>
            </w:r>
          </w:p>
        </w:tc>
      </w:tr>
      <w:tr w:rsidR="00484777" w:rsidRPr="008B6C93" w14:paraId="01A5F9B3" w14:textId="77777777" w:rsidTr="00484777">
        <w:trPr/>
        <w:tc>
          <w:tcPr>
            <w:tcW w:w="567" w:type="dxa"/>
            <w:vAlign w:val="top"/>
          </w:tcPr>
          <w:p w14:paraId="4A4C0490"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5</w:t>
            </w:r>
          </w:p>
        </w:tc>
        <w:tc>
          <w:tcPr>
            <w:tcW w:w="14459" w:type="dxa"/>
            <w:vAlign w:val="top"/>
          </w:tcPr>
          <w:p w14:paraId="6157D57D" w14:textId="394FE3A1"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Education, Training and Development</w:t>
            </w:r>
          </w:p>
        </w:tc>
      </w:tr>
      <w:tr w:rsidR="00484777" w:rsidRPr="008B6C93" w14:paraId="15437FA5" w14:textId="77777777" w:rsidTr="00484777">
        <w:trPr/>
        <w:tc>
          <w:tcPr>
            <w:tcW w:w="567" w:type="dxa"/>
            <w:vAlign w:val="top"/>
          </w:tcPr>
          <w:p w14:paraId="576900F9"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6</w:t>
            </w:r>
          </w:p>
        </w:tc>
        <w:tc>
          <w:tcPr>
            <w:tcW w:w="14459" w:type="dxa"/>
            <w:vAlign w:val="top"/>
          </w:tcPr>
          <w:p w14:paraId="72572C18" w14:textId="48DC5D79"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Manufacturing, Engineering and Technology</w:t>
            </w:r>
          </w:p>
        </w:tc>
      </w:tr>
      <w:tr w:rsidR="00484777" w:rsidRPr="008B6C93" w14:paraId="20F8F484" w14:textId="77777777" w:rsidTr="00484777">
        <w:trPr/>
        <w:tc>
          <w:tcPr>
            <w:tcW w:w="567" w:type="dxa"/>
            <w:vAlign w:val="top"/>
          </w:tcPr>
          <w:p w14:paraId="59849835"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7</w:t>
            </w:r>
          </w:p>
        </w:tc>
        <w:tc>
          <w:tcPr>
            <w:tcW w:w="14459" w:type="dxa"/>
            <w:vAlign w:val="top"/>
          </w:tcPr>
          <w:p w14:paraId="4ED01D18" w14:textId="48FAC2EC"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Human and Social Studies</w:t>
            </w:r>
          </w:p>
        </w:tc>
      </w:tr>
      <w:tr w:rsidR="00484777" w:rsidRPr="008B6C93" w14:paraId="54696A55" w14:textId="77777777" w:rsidTr="00484777">
        <w:trPr/>
        <w:tc>
          <w:tcPr>
            <w:tcW w:w="567" w:type="dxa"/>
            <w:vAlign w:val="top"/>
          </w:tcPr>
          <w:p w14:paraId="09C93AC8"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8</w:t>
            </w:r>
          </w:p>
        </w:tc>
        <w:tc>
          <w:tcPr>
            <w:tcW w:w="14459" w:type="dxa"/>
            <w:vAlign w:val="top"/>
          </w:tcPr>
          <w:p w14:paraId="07E0C16F" w14:textId="5714BB03"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Law, Military Science and Security</w:t>
            </w:r>
          </w:p>
        </w:tc>
      </w:tr>
      <w:tr w:rsidR="00484777" w:rsidRPr="008B6C93" w14:paraId="24343AB2" w14:textId="77777777" w:rsidTr="00484777">
        <w:trPr/>
        <w:tc>
          <w:tcPr>
            <w:tcW w:w="567" w:type="dxa"/>
            <w:vAlign w:val="top"/>
          </w:tcPr>
          <w:p w14:paraId="6B2122C2"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9</w:t>
            </w:r>
          </w:p>
        </w:tc>
        <w:tc>
          <w:tcPr>
            <w:tcW w:w="14459" w:type="dxa"/>
            <w:vAlign w:val="top"/>
          </w:tcPr>
          <w:p w14:paraId="713F4B2F" w14:textId="515755C7"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Health Sciences and Social Services</w:t>
            </w:r>
          </w:p>
        </w:tc>
      </w:tr>
      <w:tr w:rsidR="00484777" w:rsidRPr="008B6C93" w14:paraId="320466B5" w14:textId="77777777" w:rsidTr="00484777">
        <w:trPr/>
        <w:tc>
          <w:tcPr>
            <w:tcW w:w="567" w:type="dxa"/>
            <w:vAlign w:val="top"/>
          </w:tcPr>
          <w:p w14:paraId="02BC7272"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10</w:t>
            </w:r>
          </w:p>
        </w:tc>
        <w:tc>
          <w:tcPr>
            <w:tcW w:w="14459" w:type="dxa"/>
            <w:vAlign w:val="top"/>
          </w:tcPr>
          <w:p w14:paraId="127F203C" w14:textId="1E829E85"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Physical, Mathematical and Computer Sciences</w:t>
            </w:r>
          </w:p>
        </w:tc>
      </w:tr>
      <w:tr w:rsidR="00484777" w:rsidRPr="008B6C93" w14:paraId="62261864" w14:textId="77777777" w:rsidTr="00484777">
        <w:trPr/>
        <w:tc>
          <w:tcPr>
            <w:tcW w:w="567" w:type="dxa"/>
            <w:vAlign w:val="top"/>
          </w:tcPr>
          <w:p w14:paraId="6DE4EE1D"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11</w:t>
            </w:r>
          </w:p>
        </w:tc>
        <w:tc>
          <w:tcPr>
            <w:tcW w:w="14459" w:type="dxa"/>
            <w:vAlign w:val="top"/>
          </w:tcPr>
          <w:p w14:paraId="028FCFDE" w14:textId="14080506"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Physical Planning and Construction</w:t>
            </w:r>
          </w:p>
        </w:tc>
      </w:tr>
      <w:tr w:rsidR="00484777" w:rsidRPr="008B6C93" w14:paraId="68E938D4" w14:textId="77777777" w:rsidTr="00484777">
        <w:trPr/>
        <w:tc>
          <w:tcPr>
            <w:tcW w:w="567" w:type="dxa"/>
            <w:vAlign w:val="top"/>
          </w:tcPr>
          <w:p w14:paraId="6A829CA1"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12</w:t>
            </w:r>
          </w:p>
        </w:tc>
        <w:tc>
          <w:tcPr>
            <w:tcW w:w="14459" w:type="dxa"/>
            <w:vAlign w:val="top"/>
          </w:tcPr>
          <w:p w14:paraId="2FBFB756" w14:textId="12B56D35"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Services and Life Sciences</w:t>
            </w:r>
          </w:p>
        </w:tc>
      </w:tr>
    </w:tbl>
    <w:p w14:paraId="77D6601B" w14:textId="77777777" w:rsidR="00C65B51" w:rsidRPr="008B6C93" w:rsidRDefault="00C65B51">
      <w:pPr>
        <w:spacing w:before="0" w:after="120"/>
        <w:rPr>
          <w:rFonts w:ascii="Arial" w:hAnsi="Arial" w:eastAsia="Arial" w:cs="Arial"/>
          <w:sz w:val="20"/>
          <w:szCs w:val="20"/>
        </w:rPr>
        <w:sectPr w:rsidR="00C65B51" w:rsidRPr="008B6C93">
          <w:pgSz w:w="16838" w:h="11906" w:orient="landscape"/>
          <w:pgMar w:top="850" w:right="907" w:bottom="850" w:left="907" w:header="397" w:footer="397" w:gutter="0"/>
          <w:cols w:space="720"/>
          <w:docGrid w:linePitch="360"/>
        </w:sectPr>
      </w:pPr>
    </w:p>
    <w:p w14:paraId="7631D47B" w14:textId="77777777" w:rsidR="00C65B51" w:rsidRPr="008B6C93" w:rsidRDefault="00000000">
      <w:pPr>
        <w:pStyle w:val="Heading1"/>
        <w:spacing w:before="0" w:after="120"/>
        <w:rPr>
          <w:rFonts w:ascii="Arial" w:hAnsi="Arial" w:eastAsia="Arial" w:cs="Arial"/>
          <w:sz w:val="20"/>
          <w:szCs w:val="20"/>
        </w:rPr>
      </w:pPr>
      <w:r w:rsidRPr="008B6C93">
        <w:rPr>
          <w:rFonts w:ascii="Arial" w:hAnsi="Arial" w:eastAsia="Arial" w:cs="Arial"/>
          <w:sz w:val="20"/>
          <w:szCs w:val="20"/>
        </w:rPr>
        <w:lastRenderedPageBreak/>
        <w:t>Module Outcomes and Fields of Learning</w:t>
      </w:r>
    </w:p>
    <w:p w14:paraId="7ED621AA" w14:textId="467050DF" w:rsidR="00C65B51" w:rsidRPr="008B6C93" w:rsidRDefault="00000000" w:rsidP="00484777">
      <w:pPr>
        <w:keepNext/>
        <w:spacing w:before="0" w:after="120"/>
        <w:jc w:val="both"/>
        <w:rPr>
          <w:rFonts w:ascii="Arial" w:hAnsi="Arial" w:eastAsia="Arial" w:cs="Arial"/>
          <w:sz w:val="20"/>
          <w:szCs w:val="20"/>
        </w:rPr>
      </w:pPr>
      <w:r>
        <w:rPr>
          <w:rFonts w:ascii="Arial" w:hAnsi="Arial" w:eastAsia="Arial" w:cs="Arial"/>
          <w:sz w:val="20"/>
          <w:szCs w:val="20"/>
        </w:rPr>
        <w:t>The following matrix uses proposed broad-field and subfield classifications. Qualification outcomes are coded EO1 to EO6; detailed outcomes and indicative assessment evidence follow the matrix.</w:t>
      </w:r>
    </w:p>
    <w:p w14:paraId="70B16971" w14:textId="77777777" w:rsidR="00C65B51" w:rsidRPr="008B6C93" w:rsidRDefault="00000000">
      <w:pPr>
        <w:spacing w:before="0" w:after="120"/>
        <w:rPr>
          <w:rFonts w:ascii="Arial" w:hAnsi="Arial" w:eastAsia="Arial" w:cs="Arial"/>
          <w:sz w:val="20"/>
          <w:szCs w:val="20"/>
        </w:rPr>
      </w:pPr>
      <w:r>
        <w:rPr>
          <w:rFonts w:ascii="Arial" w:hAnsi="Arial" w:eastAsia="Arial" w:cs="Arial"/>
          <w:sz w:val="20"/>
          <w:szCs w:val="20"/>
        </w:rPr>
        <w:t>Yr = year; Sem = semester; L = NQF level; Cr = credits; NH = notional hours; CH = contact hours. All ten modules are compulsory and at Level 5.</w:t>
      </w:r>
    </w:p>
    <w:tbl>
      <w:tblPr>
        <w:tblW w:w="1488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567"/>
        <w:gridCol w:w="1474"/>
        <w:gridCol w:w="425"/>
        <w:gridCol w:w="567"/>
        <w:gridCol w:w="1814"/>
        <w:gridCol w:w="3033"/>
        <w:gridCol w:w="425"/>
        <w:gridCol w:w="425"/>
        <w:gridCol w:w="709"/>
        <w:gridCol w:w="1417"/>
        <w:gridCol w:w="567"/>
        <w:gridCol w:w="1757"/>
        <w:gridCol w:w="1701"/>
      </w:tblGrid>
      <w:tr w:rsidR="00484777" w:rsidRPr="008B6C93" w14:paraId="3EDCF111" w14:textId="77777777" w:rsidTr="008862B1">
        <w:trPr>
          <w:trHeight w:val="1587" w:hRule="atLeast"/>
          <w:tblHeader/>
        </w:trPr>
        <w:tc>
          <w:tcPr>
            <w:tcW w:w="567" w:type="dxa"/>
            <w:tcBorders>
              <w:top w:val="single" w:sz="4" w:space="0" w:color="000000"/>
              <w:left w:val="single" w:sz="4" w:space="0" w:color="000000"/>
              <w:bottom w:val="single" w:sz="4" w:space="0" w:color="000000"/>
              <w:right w:val="single" w:sz="4" w:space="0" w:color="000000"/>
            </w:tcBorders>
            <w:shd w:val="clear" w:color="auto" w:fill="D9D9D9"/>
            <w:vAlign w:val="top"/>
          </w:tcPr>
          <w:p w14:paraId="3C3BA02E"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1474" w:type="dxa"/>
            <w:tcBorders>
              <w:top w:val="single" w:sz="4" w:space="0" w:color="000000"/>
              <w:left w:val="single" w:sz="4" w:space="0" w:color="000000"/>
              <w:bottom w:val="single" w:sz="4" w:space="0" w:color="000000"/>
              <w:right w:val="single" w:sz="4" w:space="0" w:color="000000"/>
            </w:tcBorders>
            <w:shd w:val="clear" w:color="auto" w:fill="D9D9D9"/>
            <w:vAlign w:val="top"/>
          </w:tcPr>
          <w:p w14:paraId="567CD209"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Code</w:t>
            </w:r>
          </w:p>
        </w:tc>
        <w:tc>
          <w:tcPr>
            <w:tcW w:w="425" w:type="dxa"/>
            <w:tcBorders>
              <w:top w:val="single" w:sz="4" w:space="0" w:color="000000"/>
              <w:left w:val="single" w:sz="4" w:space="0" w:color="000000"/>
              <w:bottom w:val="single" w:sz="4" w:space="0" w:color="000000"/>
              <w:right w:val="single" w:sz="4" w:space="0" w:color="000000"/>
            </w:tcBorders>
            <w:shd w:val="clear" w:color="auto" w:fill="D9D9D9"/>
            <w:textDirection w:val="btLr"/>
            <w:vAlign w:val="top"/>
          </w:tcPr>
          <w:p w14:paraId="0D928E7F" w14:textId="77777777" w:rsidR="00484777" w:rsidRPr="008B6C93" w:rsidRDefault="00484777" w:rsidP="008862B1">
            <w:pPr>
              <w:pStyle w:val="BodyA"/>
              <w:keepNext/>
              <w:spacing w:after="0" w:line="240" w:lineRule="auto" w:before="0"/>
              <w:ind w:left="0" w:right="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Year </w:t>
            </w:r>
            <w:r w:rsidRPr="008B6C93">
              <w:rPr>
                <w:rStyle w:val="FootnoteReference"/>
                <w:rFonts w:ascii="Arial" w:hAnsi="Arial" w:eastAsia="Arial" w:cs="Arial"/>
                <w:b/>
                <w:sz w:val="20"/>
                <w:szCs w:val="20"/>
                <w:lang w:val="en-GB"/>
              </w:rPr>
              <w:footnoteReference w:id="8"/>
            </w:r>
          </w:p>
        </w:tc>
        <w:tc>
          <w:tcPr>
            <w:tcW w:w="567" w:type="dxa"/>
            <w:tcBorders>
              <w:top w:val="single" w:sz="4" w:space="0" w:color="000000"/>
              <w:left w:val="single" w:sz="4" w:space="0" w:color="000000"/>
              <w:bottom w:val="single" w:sz="4" w:space="0" w:color="000000"/>
              <w:right w:val="single" w:sz="4" w:space="0" w:color="000000"/>
            </w:tcBorders>
            <w:shd w:val="clear" w:color="auto" w:fill="D9D9D9"/>
            <w:textDirection w:val="btLr"/>
            <w:vAlign w:val="top"/>
          </w:tcPr>
          <w:p w14:paraId="4A714ED7" w14:textId="77777777" w:rsidR="00484777" w:rsidRPr="008B6C93" w:rsidRDefault="00484777" w:rsidP="008862B1">
            <w:pPr>
              <w:pStyle w:val="BodyA"/>
              <w:keepNext/>
              <w:spacing w:after="0" w:line="240" w:lineRule="auto" w:before="0"/>
              <w:ind w:left="0" w:right="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Semester </w:t>
            </w:r>
            <w:r w:rsidRPr="008B6C93">
              <w:rPr>
                <w:rStyle w:val="FootnoteReference"/>
                <w:rFonts w:ascii="Arial" w:hAnsi="Arial" w:eastAsia="Arial" w:cs="Arial"/>
                <w:b/>
                <w:sz w:val="20"/>
                <w:szCs w:val="20"/>
                <w:lang w:val="en-GB"/>
              </w:rPr>
              <w:footnoteReference w:id="9"/>
            </w:r>
          </w:p>
        </w:tc>
        <w:tc>
          <w:tcPr>
            <w:tcW w:w="18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top"/>
          </w:tcPr>
          <w:p w14:paraId="77EA6A7D" w14:textId="77777777" w:rsidR="00484777" w:rsidRPr="008B6C93" w:rsidRDefault="00484777"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 xml:space="preserve">Module Title </w:t>
            </w:r>
          </w:p>
        </w:tc>
        <w:tc>
          <w:tcPr>
            <w:tcW w:w="3033" w:type="dxa"/>
            <w:tcBorders>
              <w:top w:val="single" w:sz="4" w:space="0" w:color="000000"/>
              <w:left w:val="single" w:sz="4" w:space="0" w:color="000000"/>
              <w:bottom w:val="single" w:sz="4" w:space="0" w:color="000000"/>
              <w:right w:val="single" w:sz="4" w:space="0" w:color="000000"/>
            </w:tcBorders>
            <w:shd w:val="clear" w:color="auto" w:fill="D9D9D9"/>
            <w:vAlign w:val="top"/>
          </w:tcPr>
          <w:p w14:paraId="77043C30"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Learning Outcomes</w:t>
            </w:r>
            <w:r w:rsidRPr="008B6C93">
              <w:rPr>
                <w:rStyle w:val="FootnoteReference"/>
                <w:rFonts w:ascii="Arial" w:hAnsi="Arial" w:eastAsia="Arial" w:cs="Arial"/>
                <w:b/>
                <w:sz w:val="20"/>
                <w:szCs w:val="20"/>
                <w:lang w:val="en-GB"/>
              </w:rPr>
              <w:footnoteReference w:id="10"/>
            </w:r>
            <w:r w:rsidRPr="008B6C93">
              <w:rPr>
                <w:rStyle w:val="None"/>
                <w:rFonts w:ascii="Arial" w:hAnsi="Arial" w:eastAsia="Arial" w:cs="Arial"/>
                <w:b/>
                <w:sz w:val="20"/>
                <w:szCs w:val="20"/>
                <w:lang w:val="en-GB"/>
              </w:rPr>
              <w:t xml:space="preserve"> </w:t>
            </w:r>
          </w:p>
        </w:tc>
        <w:tc>
          <w:tcPr>
            <w:tcW w:w="42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extDirection w:val="btLr"/>
            <w:vAlign w:val="top"/>
          </w:tcPr>
          <w:p w14:paraId="7885E429" w14:textId="77777777" w:rsidR="00484777" w:rsidRPr="008B6C93" w:rsidRDefault="00484777" w:rsidP="008862B1">
            <w:pPr>
              <w:pStyle w:val="BodyA"/>
              <w:keepNext/>
              <w:spacing w:after="0" w:line="240" w:lineRule="auto" w:before="0"/>
              <w:ind w:left="0" w:right="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NQF Level</w:t>
            </w:r>
          </w:p>
        </w:tc>
        <w:tc>
          <w:tcPr>
            <w:tcW w:w="42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extDirection w:val="btLr"/>
            <w:vAlign w:val="top"/>
          </w:tcPr>
          <w:p w14:paraId="438EFA4C" w14:textId="77777777" w:rsidR="00484777" w:rsidRPr="008B6C93" w:rsidRDefault="00484777" w:rsidP="008862B1">
            <w:pPr>
              <w:pStyle w:val="BodyA"/>
              <w:keepNext/>
              <w:spacing w:after="0" w:line="240" w:lineRule="auto" w:before="0"/>
              <w:ind w:left="0" w:right="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Credits</w:t>
            </w:r>
          </w:p>
        </w:tc>
        <w:tc>
          <w:tcPr>
            <w:tcW w:w="709" w:type="dxa"/>
            <w:tcBorders>
              <w:top w:val="single" w:sz="4" w:space="0" w:color="000000"/>
              <w:left w:val="single" w:sz="4" w:space="0" w:color="000000"/>
              <w:bottom w:val="single" w:sz="4" w:space="0" w:color="000000"/>
              <w:right w:val="single" w:sz="4" w:space="0" w:color="000000"/>
            </w:tcBorders>
            <w:shd w:val="clear" w:color="auto" w:fill="D9D9D9"/>
            <w:textDirection w:val="btLr"/>
            <w:vAlign w:val="top"/>
          </w:tcPr>
          <w:p w14:paraId="5F2503C2" w14:textId="77777777" w:rsidR="00484777" w:rsidRPr="008B6C93" w:rsidRDefault="00484777" w:rsidP="008862B1">
            <w:pPr>
              <w:pStyle w:val="BodyA"/>
              <w:keepNext/>
              <w:spacing w:after="0" w:line="240" w:lineRule="auto" w:before="0"/>
              <w:ind w:left="0" w:right="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Notional Hours </w:t>
            </w:r>
          </w:p>
        </w:tc>
        <w:tc>
          <w:tcPr>
            <w:tcW w:w="1417" w:type="dxa"/>
            <w:tcBorders>
              <w:top w:val="single" w:sz="4" w:space="0" w:color="000000"/>
              <w:left w:val="single" w:sz="4" w:space="0" w:color="000000"/>
              <w:bottom w:val="single" w:sz="4" w:space="0" w:color="000000"/>
              <w:right w:val="single" w:sz="4" w:space="0" w:color="000000"/>
            </w:tcBorders>
            <w:shd w:val="clear" w:color="auto" w:fill="D9D9D9"/>
            <w:vAlign w:val="top"/>
          </w:tcPr>
          <w:p w14:paraId="2A0E14A0"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Pre-requisites</w:t>
            </w:r>
          </w:p>
        </w:tc>
        <w:tc>
          <w:tcPr>
            <w:tcW w:w="567" w:type="dxa"/>
            <w:tcBorders>
              <w:top w:val="single" w:sz="4" w:space="0" w:color="000000"/>
              <w:left w:val="single" w:sz="4" w:space="0" w:color="000000"/>
              <w:bottom w:val="single" w:sz="4" w:space="0" w:color="000000"/>
              <w:right w:val="single" w:sz="4" w:space="0" w:color="000000"/>
            </w:tcBorders>
            <w:shd w:val="clear" w:color="auto" w:fill="D9D9D9"/>
            <w:textDirection w:val="btLr"/>
            <w:vAlign w:val="top"/>
          </w:tcPr>
          <w:p w14:paraId="793A0E38" w14:textId="77777777" w:rsidR="00484777" w:rsidRPr="008B6C93" w:rsidRDefault="00484777" w:rsidP="008862B1">
            <w:pPr>
              <w:pStyle w:val="BodyA"/>
              <w:keepNext/>
              <w:spacing w:after="0" w:line="240" w:lineRule="auto" w:before="0"/>
              <w:ind w:left="0" w:right="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Contact Hours </w:t>
            </w:r>
          </w:p>
        </w:tc>
        <w:tc>
          <w:tcPr>
            <w:tcW w:w="1757" w:type="dxa"/>
            <w:tcBorders>
              <w:top w:val="single" w:sz="4" w:space="0" w:color="000000"/>
              <w:left w:val="single" w:sz="4" w:space="0" w:color="000000"/>
              <w:bottom w:val="single" w:sz="4" w:space="0" w:color="000000"/>
              <w:right w:val="single" w:sz="4" w:space="0" w:color="000000"/>
            </w:tcBorders>
            <w:shd w:val="clear" w:color="auto" w:fill="D9D9D9"/>
            <w:vAlign w:val="top"/>
          </w:tcPr>
          <w:p w14:paraId="43408137"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Field</w:t>
            </w:r>
            <w:r w:rsidRPr="008B6C93">
              <w:rPr>
                <w:rStyle w:val="FootnoteReference"/>
                <w:rFonts w:ascii="Arial" w:hAnsi="Arial" w:eastAsia="Arial" w:cs="Arial"/>
                <w:b/>
                <w:sz w:val="20"/>
                <w:szCs w:val="20"/>
                <w:lang w:val="en-GB"/>
              </w:rPr>
              <w:footnoteReference w:id="11"/>
            </w:r>
          </w:p>
        </w:tc>
        <w:tc>
          <w:tcPr>
            <w:tcW w:w="1701" w:type="dxa"/>
            <w:tcBorders>
              <w:top w:val="single" w:sz="4" w:space="0" w:color="000000"/>
              <w:left w:val="single" w:sz="4" w:space="0" w:color="000000"/>
              <w:bottom w:val="single" w:sz="4" w:space="0" w:color="000000"/>
              <w:right w:val="single" w:sz="4" w:space="0" w:color="000000"/>
            </w:tcBorders>
            <w:shd w:val="clear" w:color="auto" w:fill="D9D9D9"/>
            <w:vAlign w:val="top"/>
          </w:tcPr>
          <w:p w14:paraId="1CA9F306"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Sub-Field</w:t>
            </w:r>
            <w:r w:rsidRPr="008B6C93">
              <w:rPr>
                <w:rStyle w:val="FootnoteReference"/>
                <w:rFonts w:ascii="Arial" w:hAnsi="Arial" w:eastAsia="Arial" w:cs="Arial"/>
                <w:b/>
                <w:sz w:val="20"/>
                <w:szCs w:val="20"/>
                <w:lang w:val="en-GB"/>
              </w:rPr>
              <w:footnoteReference w:id="12"/>
            </w:r>
            <w:r w:rsidRPr="008B6C93">
              <w:rPr>
                <w:rStyle w:val="None"/>
                <w:rFonts w:ascii="Arial" w:hAnsi="Arial" w:eastAsia="Arial" w:cs="Arial"/>
                <w:b/>
                <w:sz w:val="20"/>
                <w:szCs w:val="20"/>
                <w:lang w:val="en-GB"/>
              </w:rPr>
              <w:t xml:space="preserve"> </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English for Communication and Academic Writing</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Analyse audience and purpose to select an appropriate academic or workplace communication format.</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Communication Studies and Language</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English communication</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Principles of Information Systems</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Explain how people, processes, data and technology interact in an organisational information system.</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Physical, Mathematical and Computer Sciences</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Information systems</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MSOP-5103</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Mining Operations and Production Planning</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Explain how mine activities interact across the production cycle.</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Manufacturing, Engineering and Technology</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Mining Supervision and Leadership</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MSRC-5104</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Mining Risk and Operational Control</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Analyse interacting risks in a planned mine task.</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Manufacturing, Engineering and Technology</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Mining Supervision and Leadership</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MSPL-5105</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People Leadership and Workplace Relations</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Explain supervisory responsibilities and fair workplace conduct.</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Manufacturing, Engineering and Technology</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Mining Supervision and Leadership</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MSRA-5206</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Resource Allocation and Shift Scheduling</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Analyse labour, equipment and material constraints.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MSOP-5103, MSRC-5104</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Manufacturing, Engineering and Technology</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Mining Supervision and Leadership</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MSPC-5207</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Production Performance and Cost Control</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Calculate output, utilisation and loss indicators from operational data.</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MSOP-5103</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Manufacturing, Engineering and Technology</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Mining Supervision and Leadership</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MSCC-5208</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Contractor and Maintenance Coordination</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Identify interfaces between production, maintenance and contractors.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MSRC-5104, MSPL-5105</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Manufacturing, Engineering and Technology</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Mining Supervision and Leadership</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MSTL-5209</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Team Learning and Operational Improvement</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Identify a team learning need from performance evidence.</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MSPL-5105, MSOP-5103</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Manufacturing, Engineering and Technology</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Mining Supervision and Leadership</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MSIP-5210</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Integrated Mining Supervision Project</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Interpret a multi-constraint mine-shift scenario.</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16</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160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MSOP-5103, MSRC-5104, MSPL-5105</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96</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Manufacturing, Engineering and Technology</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Mining Supervision and Leadership</w:t>
            </w:r>
          </w:p>
        </w:tc>
      </w:tr>
    </w:tbl>
    <w:p w14:paraId="5E53A1A1" w14:textId="77777777" w:rsidR="00FF096D" w:rsidRPr="008B6C93" w:rsidRDefault="00FF096D">
      <w:pPr>
        <w:spacing w:before="0" w:after="120"/>
        <w:rPr>
          <w:rFonts w:ascii="Arial" w:hAnsi="Arial" w:eastAsia="Arial" w:cs="Arial"/>
          <w:sz w:val="20"/>
          <w:szCs w:val="20"/>
        </w:rPr>
        <w:sectPr w:rsidR="00FF096D" w:rsidRPr="008B6C93">
          <w:pgSz w:w="16838" w:h="11906" w:orient="landscape"/>
          <w:pgMar w:top="850" w:right="907" w:bottom="850" w:left="907" w:header="397" w:footer="397" w:gutter="0"/>
          <w:cols w:space="720"/>
          <w:docGrid w:linePitch="360"/>
        </w:sectPr>
      </w:pPr>
    </w:p>
    <w:p w14:paraId="61A0489C" w14:textId="6E27D45E" w:rsidR="00FF096D" w:rsidRPr="008B6C93" w:rsidRDefault="00FF096D">
      <w:pPr>
        <w:keepNext/>
        <w:spacing w:before="0" w:after="120"/>
        <w:rPr>
          <w:rFonts w:ascii="Arial" w:hAnsi="Arial" w:eastAsia="Arial" w:cs="Arial"/>
          <w:b/>
          <w:bCs/>
          <w:sz w:val="20"/>
          <w:szCs w:val="20"/>
        </w:rPr>
      </w:pPr>
      <w:r w:rsidRPr="008B6C93">
        <w:rPr>
          <w:rFonts w:ascii="Arial" w:hAnsi="Arial" w:eastAsia="Arial" w:cs="Arial"/>
          <w:b/>
          <w:bCs/>
          <w:sz w:val="20"/>
          <w:szCs w:val="20"/>
        </w:rPr>
        <w:t>Detailed</w:t>
      </w:r>
      <w:r w:rsidR="00594976" w:rsidRPr="008B6C93">
        <w:rPr>
          <w:rFonts w:ascii="Arial" w:hAnsi="Arial" w:eastAsia="Arial" w:cs="Arial"/>
          <w:b/>
          <w:bCs/>
          <w:sz w:val="20"/>
          <w:szCs w:val="20"/>
        </w:rPr>
        <w:t xml:space="preserve"> Outcomes of Learning </w:t>
      </w:r>
    </w:p>
    <w:tbl>
      <w:tblPr>
        <w:tblW w:w="10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1474"/>
        <w:gridCol w:w="1814"/>
        <w:gridCol w:w="3685"/>
        <w:gridCol w:w="1247"/>
        <w:gridCol w:w="850"/>
        <w:gridCol w:w="992"/>
      </w:tblGrid>
      <w:tr w:rsidR="00374014" w:rsidRPr="008B6C93" w14:paraId="3C18A14A" w14:textId="0FD14FEE" w:rsidTr="00374014">
        <w:trPr>
          <w:tblHeader/>
        </w:trPr>
        <w:tc>
          <w:tcPr>
            <w:tcW w:w="1474" w:type="dxa"/>
            <w:tcBorders>
              <w:top w:val="single" w:sz="4" w:space="0" w:color="000000"/>
              <w:left w:val="single" w:sz="4" w:space="0" w:color="000000"/>
              <w:bottom w:val="single" w:sz="4" w:space="0" w:color="000000"/>
              <w:right w:val="single" w:sz="4" w:space="0" w:color="000000"/>
            </w:tcBorders>
            <w:shd w:val="clear" w:color="auto" w:fill="D9D9D9"/>
            <w:vAlign w:val="top"/>
          </w:tcPr>
          <w:p w14:paraId="5D0E66DB" w14:textId="77777777" w:rsidR="00374014" w:rsidRPr="008B6C93" w:rsidRDefault="00374014" w:rsidP="008862B1">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u w:color="000000"/>
                <w:szCs w:val="20"/>
              </w:rPr>
              <w:t xml:space="preserve">Code </w:t>
            </w:r>
          </w:p>
        </w:tc>
        <w:tc>
          <w:tcPr>
            <w:tcW w:w="18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top"/>
          </w:tcPr>
          <w:p w14:paraId="0C8CC5C4" w14:textId="77777777" w:rsidR="00374014" w:rsidRPr="008B6C93" w:rsidRDefault="00374014" w:rsidP="008862B1">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u w:color="000000"/>
                <w:szCs w:val="20"/>
              </w:rPr>
              <w:t xml:space="preserve">Course Title </w:t>
            </w:r>
          </w:p>
        </w:tc>
        <w:tc>
          <w:tcPr>
            <w:tcW w:w="3685" w:type="dxa"/>
            <w:tcBorders>
              <w:top w:val="single" w:sz="4" w:space="0" w:color="000000"/>
              <w:left w:val="single" w:sz="4" w:space="0" w:color="000000"/>
              <w:bottom w:val="single" w:sz="4" w:space="0" w:color="000000"/>
              <w:right w:val="single" w:sz="4" w:space="0" w:color="000000"/>
            </w:tcBorders>
            <w:shd w:val="clear" w:color="auto" w:fill="D9D9D9"/>
            <w:vAlign w:val="top"/>
          </w:tcPr>
          <w:p w14:paraId="0F8B9A64" w14:textId="77777777" w:rsidR="00374014" w:rsidRPr="008B6C93" w:rsidRDefault="00374014" w:rsidP="008862B1">
            <w:pPr>
              <w:keepNext/>
              <w:spacing w:line="240" w:lineRule="auto" w:before="0" w:after="0"/>
              <w:contextualSpacing/>
              <w:jc w:val="left"/>
              <w:rPr>
                <w:rFonts w:ascii="Arial" w:hAnsi="Arial" w:eastAsia="Arial" w:cs="Arial"/>
                <w:b/>
                <w:bCs/>
                <w:sz w:val="20"/>
                <w:szCs w:val="20"/>
              </w:rPr>
            </w:pPr>
            <w:r w:rsidRPr="008B6C93">
              <w:rPr>
                <w:rFonts w:ascii="Arial" w:hAnsi="Arial" w:eastAsia="Arial" w:cs="Arial"/>
                <w:b/>
                <w:bCs/>
                <w:sz w:val="20"/>
                <w:szCs w:val="20"/>
              </w:rPr>
              <w:t>Outcomes of Learning</w:t>
            </w:r>
          </w:p>
          <w:p w14:paraId="79AEABEA" w14:textId="77777777" w:rsidR="00374014" w:rsidRPr="008B6C93" w:rsidRDefault="00374014" w:rsidP="008862B1">
            <w:pPr>
              <w:keepNext/>
              <w:spacing w:line="240" w:lineRule="auto" w:before="0" w:after="0"/>
              <w:contextualSpacing/>
              <w:jc w:val="left"/>
              <w:rPr>
                <w:rFonts w:ascii="Arial" w:hAnsi="Arial" w:eastAsia="Arial" w:cs="Arial"/>
                <w:i/>
                <w:iCs/>
                <w:sz w:val="20"/>
                <w:szCs w:val="20"/>
              </w:rPr>
            </w:pPr>
            <w:r w:rsidRPr="008B6C93">
              <w:rPr>
                <w:rFonts w:ascii="Arial" w:hAnsi="Arial" w:eastAsia="Arial" w:cs="Arial"/>
                <w:b/>
                <w:i/>
                <w:iCs/>
                <w:sz w:val="20"/>
                <w:szCs w:val="20"/>
              </w:rPr>
              <w:t>Upon completing the course, students will be able to:</w:t>
            </w:r>
          </w:p>
        </w:tc>
        <w:tc>
          <w:tcPr>
            <w:tcW w:w="1247" w:type="dxa"/>
            <w:tcBorders>
              <w:top w:val="single" w:sz="4" w:space="0" w:color="000000"/>
              <w:left w:val="single" w:sz="4" w:space="0" w:color="000000"/>
              <w:bottom w:val="single" w:sz="4" w:space="0" w:color="000000"/>
              <w:right w:val="single" w:sz="4" w:space="0" w:color="000000"/>
            </w:tcBorders>
            <w:shd w:val="clear" w:color="auto" w:fill="D9D9D9"/>
            <w:vAlign w:val="top"/>
          </w:tcPr>
          <w:p w14:paraId="3D063C0D" w14:textId="77777777" w:rsidR="00374014" w:rsidRPr="008B6C93" w:rsidRDefault="00374014" w:rsidP="008862B1">
            <w:pPr>
              <w:keepNext/>
              <w:spacing w:line="240" w:lineRule="auto" w:before="0" w:after="0"/>
              <w:contextualSpacing/>
              <w:jc w:val="left"/>
              <w:rPr>
                <w:rFonts w:ascii="Arial" w:hAnsi="Arial" w:eastAsia="Arial" w:cs="Arial"/>
                <w:b/>
                <w:bCs/>
                <w:sz w:val="20"/>
                <w:szCs w:val="20"/>
              </w:rPr>
            </w:pPr>
            <w:r w:rsidRPr="008B6C93">
              <w:rPr>
                <w:rFonts w:ascii="Arial" w:hAnsi="Arial" w:eastAsia="Arial" w:cs="Arial"/>
                <w:b/>
                <w:bCs/>
                <w:sz w:val="20"/>
                <w:szCs w:val="20"/>
              </w:rPr>
              <w:t>Pre-</w:t>
            </w:r>
          </w:p>
          <w:p w14:paraId="333A84EE" w14:textId="77777777" w:rsidR="00374014" w:rsidRPr="008B6C93" w:rsidRDefault="00374014" w:rsidP="008862B1">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szCs w:val="20"/>
              </w:rPr>
              <w:t>requisites</w:t>
            </w:r>
          </w:p>
        </w:tc>
        <w:tc>
          <w:tcPr>
            <w:tcW w:w="8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top"/>
          </w:tcPr>
          <w:p w14:paraId="670A7FDE" w14:textId="77777777" w:rsidR="00374014" w:rsidRPr="008B6C93" w:rsidRDefault="00374014" w:rsidP="00374014">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u w:color="000000"/>
                <w:szCs w:val="20"/>
              </w:rPr>
              <w:t>Level</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top"/>
          </w:tcPr>
          <w:p w14:paraId="18D84696" w14:textId="77777777" w:rsidR="00374014" w:rsidRPr="008B6C93" w:rsidRDefault="00374014" w:rsidP="00374014">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u w:color="000000"/>
                <w:szCs w:val="20"/>
              </w:rPr>
              <w:t>Credits</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ECAW-5101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English for Communication and Academic Writing</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Analyse audience and purpose to select an appropriate academic or workplace communication format.</w:t>
            </w:r>
          </w:p>
          <w:p>
            <w:pPr>
              <w:tabs>
                <w:tab w:pos="170" w:val="left"/>
              </w:tabs>
              <w:spacing w:before="0" w:after="0"/>
              <w:ind w:left="170" w:hanging="170"/>
            </w:pPr>
            <w:r>
              <w:rPr>
                <w:rFonts w:ascii="Arial" w:hAnsi="Arial" w:eastAsia="Arial" w:cs="Arial"/>
                <w:b w:val="0"/>
                <w:sz w:val="20"/>
                <w:szCs w:val="20"/>
              </w:rPr>
              <w:t>•</w:t>
              <w:tab/>
              <w:t>Locate and appraise sources using relevance, authority and corroboration checks.</w:t>
            </w:r>
          </w:p>
          <w:p>
            <w:pPr>
              <w:tabs>
                <w:tab w:pos="170" w:val="left"/>
              </w:tabs>
              <w:spacing w:before="0" w:after="0"/>
              <w:ind w:left="170" w:hanging="170"/>
            </w:pPr>
            <w:r>
              <w:rPr>
                <w:rFonts w:ascii="Arial" w:hAnsi="Arial" w:eastAsia="Arial" w:cs="Arial"/>
                <w:b w:val="0"/>
                <w:sz w:val="20"/>
                <w:szCs w:val="20"/>
              </w:rPr>
              <w:t>•</w:t>
              <w:tab/>
              <w:t>Construct a supported argument using accurate paragraph structure, evidence and consistent referencing.</w:t>
            </w:r>
          </w:p>
          <w:p>
            <w:pPr>
              <w:tabs>
                <w:tab w:pos="170" w:val="left"/>
              </w:tabs>
              <w:spacing w:before="0" w:after="0"/>
              <w:ind w:left="170" w:hanging="170"/>
            </w:pPr>
            <w:r>
              <w:rPr>
                <w:rFonts w:ascii="Arial" w:hAnsi="Arial" w:eastAsia="Arial" w:cs="Arial"/>
                <w:b w:val="0"/>
                <w:sz w:val="20"/>
                <w:szCs w:val="20"/>
              </w:rPr>
              <w:t>•</w:t>
              <w:tab/>
              <w:t>Deliver an accessible oral briefing and respond to questions using relevant evidence.</w:t>
            </w:r>
          </w:p>
          <w:p>
            <w:pPr>
              <w:tabs>
                <w:tab w:pos="170" w:val="left"/>
              </w:tabs>
              <w:spacing w:before="0" w:after="0"/>
              <w:ind w:left="170" w:hanging="170"/>
            </w:pPr>
            <w:r>
              <w:rPr>
                <w:rFonts w:ascii="Arial" w:hAnsi="Arial" w:eastAsia="Arial" w:cs="Arial"/>
                <w:b w:val="0"/>
                <w:sz w:val="20"/>
                <w:szCs w:val="20"/>
              </w:rPr>
              <w:t>•</w:t>
              <w:tab/>
              <w:t>Edit a report for clarity, grammar and ethical attribution, declaring any permitted AI assistance.</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10</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PISY-5102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Principles of Information Systems</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Explain how people, processes, data and technology interact in an organisational information system.</w:t>
            </w:r>
          </w:p>
          <w:p>
            <w:pPr>
              <w:tabs>
                <w:tab w:pos="170" w:val="left"/>
              </w:tabs>
              <w:spacing w:before="0" w:after="0"/>
              <w:ind w:left="170" w:hanging="170"/>
            </w:pPr>
            <w:r>
              <w:rPr>
                <w:rFonts w:ascii="Arial" w:hAnsi="Arial" w:eastAsia="Arial" w:cs="Arial"/>
                <w:b w:val="0"/>
                <w:sz w:val="20"/>
                <w:szCs w:val="20"/>
              </w:rPr>
              <w:t>•</w:t>
              <w:tab/>
              <w:t>Organise and analyse a small dataset using a spreadsheet and document its quality checks.</w:t>
            </w:r>
          </w:p>
          <w:p>
            <w:pPr>
              <w:tabs>
                <w:tab w:pos="170" w:val="left"/>
              </w:tabs>
              <w:spacing w:before="0" w:after="0"/>
              <w:ind w:left="170" w:hanging="170"/>
            </w:pPr>
            <w:r>
              <w:rPr>
                <w:rFonts w:ascii="Arial" w:hAnsi="Arial" w:eastAsia="Arial" w:cs="Arial"/>
                <w:b w:val="0"/>
                <w:sz w:val="20"/>
                <w:szCs w:val="20"/>
              </w:rPr>
              <w:t>•</w:t>
              <w:tab/>
              <w:t>Evaluate digital information and AI-generated outputs by checking provenance, evidence, bias and fitness for purpose.</w:t>
            </w:r>
          </w:p>
          <w:p>
            <w:pPr>
              <w:tabs>
                <w:tab w:pos="170" w:val="left"/>
              </w:tabs>
              <w:spacing w:before="0" w:after="0"/>
              <w:ind w:left="170" w:hanging="170"/>
            </w:pPr>
            <w:r>
              <w:rPr>
                <w:rFonts w:ascii="Arial" w:hAnsi="Arial" w:eastAsia="Arial" w:cs="Arial"/>
                <w:b w:val="0"/>
                <w:sz w:val="20"/>
                <w:szCs w:val="20"/>
              </w:rPr>
              <w:t>•</w:t>
              <w:tab/>
              <w:t>Apply cybersecurity controls in a training environment, including secure authentication, phishing recognition, updates, backups and incident reporting.</w:t>
            </w:r>
          </w:p>
          <w:p>
            <w:pPr>
              <w:tabs>
                <w:tab w:pos="170" w:val="left"/>
              </w:tabs>
              <w:spacing w:before="0" w:after="0"/>
              <w:ind w:left="170" w:hanging="170"/>
            </w:pPr>
            <w:r>
              <w:rPr>
                <w:rFonts w:ascii="Arial" w:hAnsi="Arial" w:eastAsia="Arial" w:cs="Arial"/>
                <w:b w:val="0"/>
                <w:sz w:val="20"/>
                <w:szCs w:val="20"/>
              </w:rPr>
              <w:t>•</w:t>
              <w:tab/>
              <w:t>Propose a responsible information-system improvement that protects personal information and records human accountability for AI-assisted decisions.</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10</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MSOP-5103</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Mining Operations and Production Planning</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Explain how mine activities interact across the production cycle.</w:t>
            </w:r>
          </w:p>
          <w:p>
            <w:pPr>
              <w:tabs>
                <w:tab w:pos="170" w:val="left"/>
              </w:tabs>
              <w:spacing w:before="0" w:after="0"/>
              <w:ind w:left="170" w:hanging="170"/>
            </w:pPr>
            <w:r>
              <w:rPr>
                <w:rFonts w:ascii="Arial" w:hAnsi="Arial" w:eastAsia="Arial" w:cs="Arial"/>
                <w:b w:val="0"/>
                <w:sz w:val="20"/>
                <w:szCs w:val="20"/>
              </w:rPr>
              <w:t>•</w:t>
              <w:tab/>
              <w:t>Interpret a production plan and identify key constraints.</w:t>
            </w:r>
          </w:p>
          <w:p>
            <w:pPr>
              <w:tabs>
                <w:tab w:pos="170" w:val="left"/>
              </w:tabs>
              <w:spacing w:before="0" w:after="0"/>
              <w:ind w:left="170" w:hanging="170"/>
            </w:pPr>
            <w:r>
              <w:rPr>
                <w:rFonts w:ascii="Arial" w:hAnsi="Arial" w:eastAsia="Arial" w:cs="Arial"/>
                <w:b w:val="0"/>
                <w:sz w:val="20"/>
                <w:szCs w:val="20"/>
              </w:rPr>
              <w:t>•</w:t>
              <w:tab/>
              <w:t>Calculate resource and output requirements from supplied data.</w:t>
            </w:r>
          </w:p>
          <w:p>
            <w:pPr>
              <w:tabs>
                <w:tab w:pos="170" w:val="left"/>
              </w:tabs>
              <w:spacing w:before="0" w:after="0"/>
              <w:ind w:left="170" w:hanging="170"/>
            </w:pPr>
            <w:r>
              <w:rPr>
                <w:rFonts w:ascii="Arial" w:hAnsi="Arial" w:eastAsia="Arial" w:cs="Arial"/>
                <w:b w:val="0"/>
                <w:sz w:val="20"/>
                <w:szCs w:val="20"/>
              </w:rPr>
              <w:t>•</w:t>
              <w:tab/>
              <w:t>Prepare a shift task sequence with dependencies and contingencies.</w:t>
            </w:r>
          </w:p>
          <w:p>
            <w:pPr>
              <w:tabs>
                <w:tab w:pos="170" w:val="left"/>
              </w:tabs>
              <w:spacing w:before="0" w:after="0"/>
              <w:ind w:left="170" w:hanging="170"/>
            </w:pPr>
            <w:r>
              <w:rPr>
                <w:rFonts w:ascii="Arial" w:hAnsi="Arial" w:eastAsia="Arial" w:cs="Arial"/>
                <w:b w:val="0"/>
                <w:sz w:val="20"/>
                <w:szCs w:val="20"/>
              </w:rPr>
              <w:t>•</w:t>
              <w:tab/>
              <w:t>Justify the plan against safety, quality and production objectives.</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12</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MSRC-5104</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Mining Risk and Operational Control</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Analyse interacting risks in a planned mine task.</w:t>
            </w:r>
          </w:p>
          <w:p>
            <w:pPr>
              <w:tabs>
                <w:tab w:pos="170" w:val="left"/>
              </w:tabs>
              <w:spacing w:before="0" w:after="0"/>
              <w:ind w:left="170" w:hanging="170"/>
            </w:pPr>
            <w:r>
              <w:rPr>
                <w:rFonts w:ascii="Arial" w:hAnsi="Arial" w:eastAsia="Arial" w:cs="Arial"/>
                <w:b w:val="0"/>
                <w:sz w:val="20"/>
                <w:szCs w:val="20"/>
              </w:rPr>
              <w:t>•</w:t>
              <w:tab/>
              <w:t>Select operational controls and verify readiness conditions.</w:t>
            </w:r>
          </w:p>
          <w:p>
            <w:pPr>
              <w:tabs>
                <w:tab w:pos="170" w:val="left"/>
              </w:tabs>
              <w:spacing w:before="0" w:after="0"/>
              <w:ind w:left="170" w:hanging="170"/>
            </w:pPr>
            <w:r>
              <w:rPr>
                <w:rFonts w:ascii="Arial" w:hAnsi="Arial" w:eastAsia="Arial" w:cs="Arial"/>
                <w:b w:val="0"/>
                <w:sz w:val="20"/>
                <w:szCs w:val="20"/>
              </w:rPr>
              <w:t>•</w:t>
              <w:tab/>
              <w:t>Interpret a permit and isolation scenario within delegated authority.</w:t>
            </w:r>
          </w:p>
          <w:p>
            <w:pPr>
              <w:tabs>
                <w:tab w:pos="170" w:val="left"/>
              </w:tabs>
              <w:spacing w:before="0" w:after="0"/>
              <w:ind w:left="170" w:hanging="170"/>
            </w:pPr>
            <w:r>
              <w:rPr>
                <w:rFonts w:ascii="Arial" w:hAnsi="Arial" w:eastAsia="Arial" w:cs="Arial"/>
                <w:b w:val="0"/>
                <w:sz w:val="20"/>
                <w:szCs w:val="20"/>
              </w:rPr>
              <w:t>•</w:t>
              <w:tab/>
              <w:t>Respond to a simulated unsafe change using stop-work and escalation procedures.</w:t>
            </w:r>
          </w:p>
          <w:p>
            <w:pPr>
              <w:tabs>
                <w:tab w:pos="170" w:val="left"/>
              </w:tabs>
              <w:spacing w:before="0" w:after="0"/>
              <w:ind w:left="170" w:hanging="170"/>
            </w:pPr>
            <w:r>
              <w:rPr>
                <w:rFonts w:ascii="Arial" w:hAnsi="Arial" w:eastAsia="Arial" w:cs="Arial"/>
                <w:b w:val="0"/>
                <w:sz w:val="20"/>
                <w:szCs w:val="20"/>
              </w:rPr>
              <w:t>•</w:t>
              <w:tab/>
              <w:t>Record control checks and lessons for the following shift.</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14</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MSPL-5105</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People Leadership and Workplace Relations</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Explain supervisory responsibilities and fair workplace conduct.</w:t>
            </w:r>
          </w:p>
          <w:p>
            <w:pPr>
              <w:tabs>
                <w:tab w:pos="170" w:val="left"/>
              </w:tabs>
              <w:spacing w:before="0" w:after="0"/>
              <w:ind w:left="170" w:hanging="170"/>
            </w:pPr>
            <w:r>
              <w:rPr>
                <w:rFonts w:ascii="Arial" w:hAnsi="Arial" w:eastAsia="Arial" w:cs="Arial"/>
                <w:b w:val="0"/>
                <w:sz w:val="20"/>
                <w:szCs w:val="20"/>
              </w:rPr>
              <w:t>•</w:t>
              <w:tab/>
              <w:t>Allocate tasks with regard to competence, workload and inclusion.</w:t>
            </w:r>
          </w:p>
          <w:p>
            <w:pPr>
              <w:tabs>
                <w:tab w:pos="170" w:val="left"/>
              </w:tabs>
              <w:spacing w:before="0" w:after="0"/>
              <w:ind w:left="170" w:hanging="170"/>
            </w:pPr>
            <w:r>
              <w:rPr>
                <w:rFonts w:ascii="Arial" w:hAnsi="Arial" w:eastAsia="Arial" w:cs="Arial"/>
                <w:b w:val="0"/>
                <w:sz w:val="20"/>
                <w:szCs w:val="20"/>
              </w:rPr>
              <w:t>•</w:t>
              <w:tab/>
              <w:t>Apply a structured coaching conversation to a performance need.</w:t>
            </w:r>
          </w:p>
          <w:p>
            <w:pPr>
              <w:tabs>
                <w:tab w:pos="170" w:val="left"/>
              </w:tabs>
              <w:spacing w:before="0" w:after="0"/>
              <w:ind w:left="170" w:hanging="170"/>
            </w:pPr>
            <w:r>
              <w:rPr>
                <w:rFonts w:ascii="Arial" w:hAnsi="Arial" w:eastAsia="Arial" w:cs="Arial"/>
                <w:b w:val="0"/>
                <w:sz w:val="20"/>
                <w:szCs w:val="20"/>
              </w:rPr>
              <w:t>•</w:t>
              <w:tab/>
              <w:t>Resolve a simulated conflict using documented procedures.</w:t>
            </w:r>
          </w:p>
          <w:p>
            <w:pPr>
              <w:tabs>
                <w:tab w:pos="170" w:val="left"/>
              </w:tabs>
              <w:spacing w:before="0" w:after="0"/>
              <w:ind w:left="170" w:hanging="170"/>
            </w:pPr>
            <w:r>
              <w:rPr>
                <w:rFonts w:ascii="Arial" w:hAnsi="Arial" w:eastAsia="Arial" w:cs="Arial"/>
                <w:b w:val="0"/>
                <w:sz w:val="20"/>
                <w:szCs w:val="20"/>
              </w:rPr>
              <w:t>•</w:t>
              <w:tab/>
              <w:t>Prepare objective performance records while protecting confidentiality.</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14</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MSRA-5206</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Resource Allocation and Shift Scheduling</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Analyse labour, equipment and material constraints.</w:t>
            </w:r>
          </w:p>
          <w:p>
            <w:pPr>
              <w:tabs>
                <w:tab w:pos="170" w:val="left"/>
              </w:tabs>
              <w:spacing w:before="0" w:after="0"/>
              <w:ind w:left="170" w:hanging="170"/>
            </w:pPr>
            <w:r>
              <w:rPr>
                <w:rFonts w:ascii="Arial" w:hAnsi="Arial" w:eastAsia="Arial" w:cs="Arial"/>
                <w:b w:val="0"/>
                <w:sz w:val="20"/>
                <w:szCs w:val="20"/>
              </w:rPr>
              <w:t>•</w:t>
              <w:tab/>
              <w:t>Build a feasible shift schedule from a production requirement.</w:t>
            </w:r>
          </w:p>
          <w:p>
            <w:pPr>
              <w:tabs>
                <w:tab w:pos="170" w:val="left"/>
              </w:tabs>
              <w:spacing w:before="0" w:after="0"/>
              <w:ind w:left="170" w:hanging="170"/>
            </w:pPr>
            <w:r>
              <w:rPr>
                <w:rFonts w:ascii="Arial" w:hAnsi="Arial" w:eastAsia="Arial" w:cs="Arial"/>
                <w:b w:val="0"/>
                <w:sz w:val="20"/>
                <w:szCs w:val="20"/>
              </w:rPr>
              <w:t>•</w:t>
              <w:tab/>
              <w:t>Reallocate resources after a simulated disruption.</w:t>
            </w:r>
          </w:p>
          <w:p>
            <w:pPr>
              <w:tabs>
                <w:tab w:pos="170" w:val="left"/>
              </w:tabs>
              <w:spacing w:before="0" w:after="0"/>
              <w:ind w:left="170" w:hanging="170"/>
            </w:pPr>
            <w:r>
              <w:rPr>
                <w:rFonts w:ascii="Arial" w:hAnsi="Arial" w:eastAsia="Arial" w:cs="Arial"/>
                <w:b w:val="0"/>
                <w:sz w:val="20"/>
                <w:szCs w:val="20"/>
              </w:rPr>
              <w:t>•</w:t>
              <w:tab/>
              <w:t>Estimate the output implications of alternative schedules.</w:t>
            </w:r>
          </w:p>
          <w:p>
            <w:pPr>
              <w:tabs>
                <w:tab w:pos="170" w:val="left"/>
              </w:tabs>
              <w:spacing w:before="0" w:after="0"/>
              <w:ind w:left="170" w:hanging="170"/>
            </w:pPr>
            <w:r>
              <w:rPr>
                <w:rFonts w:ascii="Arial" w:hAnsi="Arial" w:eastAsia="Arial" w:cs="Arial"/>
                <w:b w:val="0"/>
                <w:sz w:val="20"/>
                <w:szCs w:val="20"/>
              </w:rPr>
              <w:t>•</w:t>
              <w:tab/>
              <w:t>Document assumptions, approvals and handover requirements.</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MSOP-5103, MSRC-5104</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10</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MSPC-5207</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Production Performance and Cost Control</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Calculate output, utilisation and loss indicators from operational data.</w:t>
            </w:r>
          </w:p>
          <w:p>
            <w:pPr>
              <w:tabs>
                <w:tab w:pos="170" w:val="left"/>
              </w:tabs>
              <w:spacing w:before="0" w:after="0"/>
              <w:ind w:left="170" w:hanging="170"/>
            </w:pPr>
            <w:r>
              <w:rPr>
                <w:rFonts w:ascii="Arial" w:hAnsi="Arial" w:eastAsia="Arial" w:cs="Arial"/>
                <w:b w:val="0"/>
                <w:sz w:val="20"/>
                <w:szCs w:val="20"/>
              </w:rPr>
              <w:t>•</w:t>
              <w:tab/>
              <w:t>Distinguish controllable losses from external constraints.</w:t>
            </w:r>
          </w:p>
          <w:p>
            <w:pPr>
              <w:tabs>
                <w:tab w:pos="170" w:val="left"/>
              </w:tabs>
              <w:spacing w:before="0" w:after="0"/>
              <w:ind w:left="170" w:hanging="170"/>
            </w:pPr>
            <w:r>
              <w:rPr>
                <w:rFonts w:ascii="Arial" w:hAnsi="Arial" w:eastAsia="Arial" w:cs="Arial"/>
                <w:b w:val="0"/>
                <w:sz w:val="20"/>
                <w:szCs w:val="20"/>
              </w:rPr>
              <w:t>•</w:t>
              <w:tab/>
              <w:t>Interpret basic cost variances using supplied budgets.</w:t>
            </w:r>
          </w:p>
          <w:p>
            <w:pPr>
              <w:tabs>
                <w:tab w:pos="170" w:val="left"/>
              </w:tabs>
              <w:spacing w:before="0" w:after="0"/>
              <w:ind w:left="170" w:hanging="170"/>
            </w:pPr>
            <w:r>
              <w:rPr>
                <w:rFonts w:ascii="Arial" w:hAnsi="Arial" w:eastAsia="Arial" w:cs="Arial"/>
                <w:b w:val="0"/>
                <w:sz w:val="20"/>
                <w:szCs w:val="20"/>
              </w:rPr>
              <w:t>•</w:t>
              <w:tab/>
              <w:t>Compare improvement options without compromising safety controls.</w:t>
            </w:r>
          </w:p>
          <w:p>
            <w:pPr>
              <w:tabs>
                <w:tab w:pos="170" w:val="left"/>
              </w:tabs>
              <w:spacing w:before="0" w:after="0"/>
              <w:ind w:left="170" w:hanging="170"/>
            </w:pPr>
            <w:r>
              <w:rPr>
                <w:rFonts w:ascii="Arial" w:hAnsi="Arial" w:eastAsia="Arial" w:cs="Arial"/>
                <w:b w:val="0"/>
                <w:sz w:val="20"/>
                <w:szCs w:val="20"/>
              </w:rPr>
              <w:t>•</w:t>
              <w:tab/>
              <w:t>Prepare a concise performance brief with limitations and actions.</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MSOP-5103</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10</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MSCC-5208</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Contractor and Maintenance Coordination</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Identify interfaces between production, maintenance and contractors.</w:t>
            </w:r>
          </w:p>
          <w:p>
            <w:pPr>
              <w:tabs>
                <w:tab w:pos="170" w:val="left"/>
              </w:tabs>
              <w:spacing w:before="0" w:after="0"/>
              <w:ind w:left="170" w:hanging="170"/>
            </w:pPr>
            <w:r>
              <w:rPr>
                <w:rFonts w:ascii="Arial" w:hAnsi="Arial" w:eastAsia="Arial" w:cs="Arial"/>
                <w:b w:val="0"/>
                <w:sz w:val="20"/>
                <w:szCs w:val="20"/>
              </w:rPr>
              <w:t>•</w:t>
              <w:tab/>
              <w:t>Prepare coordinated work requirements and communication arrangements.</w:t>
            </w:r>
          </w:p>
          <w:p>
            <w:pPr>
              <w:tabs>
                <w:tab w:pos="170" w:val="left"/>
              </w:tabs>
              <w:spacing w:before="0" w:after="0"/>
              <w:ind w:left="170" w:hanging="170"/>
            </w:pPr>
            <w:r>
              <w:rPr>
                <w:rFonts w:ascii="Arial" w:hAnsi="Arial" w:eastAsia="Arial" w:cs="Arial"/>
                <w:b w:val="0"/>
                <w:sz w:val="20"/>
                <w:szCs w:val="20"/>
              </w:rPr>
              <w:t>•</w:t>
              <w:tab/>
              <w:t>Check contractor readiness against supplied competence and permit criteria.</w:t>
            </w:r>
          </w:p>
          <w:p>
            <w:pPr>
              <w:tabs>
                <w:tab w:pos="170" w:val="left"/>
              </w:tabs>
              <w:spacing w:before="0" w:after="0"/>
              <w:ind w:left="170" w:hanging="170"/>
            </w:pPr>
            <w:r>
              <w:rPr>
                <w:rFonts w:ascii="Arial" w:hAnsi="Arial" w:eastAsia="Arial" w:cs="Arial"/>
                <w:b w:val="0"/>
                <w:sz w:val="20"/>
                <w:szCs w:val="20"/>
              </w:rPr>
              <w:t>•</w:t>
              <w:tab/>
              <w:t>Manage a simulated work-interface conflict through escalation.</w:t>
            </w:r>
          </w:p>
          <w:p>
            <w:pPr>
              <w:tabs>
                <w:tab w:pos="170" w:val="left"/>
              </w:tabs>
              <w:spacing w:before="0" w:after="0"/>
              <w:ind w:left="170" w:hanging="170"/>
            </w:pPr>
            <w:r>
              <w:rPr>
                <w:rFonts w:ascii="Arial" w:hAnsi="Arial" w:eastAsia="Arial" w:cs="Arial"/>
                <w:b w:val="0"/>
                <w:sz w:val="20"/>
                <w:szCs w:val="20"/>
              </w:rPr>
              <w:t>•</w:t>
              <w:tab/>
              <w:t>Evaluate completion evidence before recommending handback.</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MSRC-5104, MSPL-5105</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12</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MSTL-5209</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Team Learning and Operational Improvement</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Identify a team learning need from performance evidence.</w:t>
            </w:r>
          </w:p>
          <w:p>
            <w:pPr>
              <w:tabs>
                <w:tab w:pos="170" w:val="left"/>
              </w:tabs>
              <w:spacing w:before="0" w:after="0"/>
              <w:ind w:left="170" w:hanging="170"/>
            </w:pPr>
            <w:r>
              <w:rPr>
                <w:rFonts w:ascii="Arial" w:hAnsi="Arial" w:eastAsia="Arial" w:cs="Arial"/>
                <w:b w:val="0"/>
                <w:sz w:val="20"/>
                <w:szCs w:val="20"/>
              </w:rPr>
              <w:t>•</w:t>
              <w:tab/>
              <w:t>Plan a briefing and coaching activity for the stated need.</w:t>
            </w:r>
          </w:p>
          <w:p>
            <w:pPr>
              <w:tabs>
                <w:tab w:pos="170" w:val="left"/>
              </w:tabs>
              <w:spacing w:before="0" w:after="0"/>
              <w:ind w:left="170" w:hanging="170"/>
            </w:pPr>
            <w:r>
              <w:rPr>
                <w:rFonts w:ascii="Arial" w:hAnsi="Arial" w:eastAsia="Arial" w:cs="Arial"/>
                <w:b w:val="0"/>
                <w:sz w:val="20"/>
                <w:szCs w:val="20"/>
              </w:rPr>
              <w:t>•</w:t>
              <w:tab/>
              <w:t>Facilitate problem solving using worker contributions.</w:t>
            </w:r>
          </w:p>
          <w:p>
            <w:pPr>
              <w:tabs>
                <w:tab w:pos="170" w:val="left"/>
              </w:tabs>
              <w:spacing w:before="0" w:after="0"/>
              <w:ind w:left="170" w:hanging="170"/>
            </w:pPr>
            <w:r>
              <w:rPr>
                <w:rFonts w:ascii="Arial" w:hAnsi="Arial" w:eastAsia="Arial" w:cs="Arial"/>
                <w:b w:val="0"/>
                <w:sz w:val="20"/>
                <w:szCs w:val="20"/>
              </w:rPr>
              <w:t>•</w:t>
              <w:tab/>
              <w:t>Select measures to evaluate the proposed change.</w:t>
            </w:r>
          </w:p>
          <w:p>
            <w:pPr>
              <w:tabs>
                <w:tab w:pos="170" w:val="left"/>
              </w:tabs>
              <w:spacing w:before="0" w:after="0"/>
              <w:ind w:left="170" w:hanging="170"/>
            </w:pPr>
            <w:r>
              <w:rPr>
                <w:rFonts w:ascii="Arial" w:hAnsi="Arial" w:eastAsia="Arial" w:cs="Arial"/>
                <w:b w:val="0"/>
                <w:sz w:val="20"/>
                <w:szCs w:val="20"/>
              </w:rPr>
              <w:t>•</w:t>
              <w:tab/>
              <w:t>Record individual and team accountability for follow-up actions.</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MSPL-5105, MSOP-5103</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12</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MSIP-5210</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Integrated Mining Supervision Project</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Interpret a multi-constraint mine-shift scenario.</w:t>
            </w:r>
          </w:p>
          <w:p>
            <w:pPr>
              <w:tabs>
                <w:tab w:pos="170" w:val="left"/>
              </w:tabs>
              <w:spacing w:before="0" w:after="0"/>
              <w:ind w:left="170" w:hanging="170"/>
            </w:pPr>
            <w:r>
              <w:rPr>
                <w:rFonts w:ascii="Arial" w:hAnsi="Arial" w:eastAsia="Arial" w:cs="Arial"/>
                <w:b w:val="0"/>
                <w:sz w:val="20"/>
                <w:szCs w:val="20"/>
              </w:rPr>
              <w:t>•</w:t>
              <w:tab/>
              <w:t>Develop a safe resource and team-coordination plan.</w:t>
            </w:r>
          </w:p>
          <w:p>
            <w:pPr>
              <w:tabs>
                <w:tab w:pos="170" w:val="left"/>
              </w:tabs>
              <w:spacing w:before="0" w:after="0"/>
              <w:ind w:left="170" w:hanging="170"/>
            </w:pPr>
            <w:r>
              <w:rPr>
                <w:rFonts w:ascii="Arial" w:hAnsi="Arial" w:eastAsia="Arial" w:cs="Arial"/>
                <w:b w:val="0"/>
                <w:sz w:val="20"/>
                <w:szCs w:val="20"/>
              </w:rPr>
              <w:t>•</w:t>
              <w:tab/>
              <w:t>Respond to a non-routine event with reasoned adjustments.</w:t>
            </w:r>
          </w:p>
          <w:p>
            <w:pPr>
              <w:tabs>
                <w:tab w:pos="170" w:val="left"/>
              </w:tabs>
              <w:spacing w:before="0" w:after="0"/>
              <w:ind w:left="170" w:hanging="170"/>
            </w:pPr>
            <w:r>
              <w:rPr>
                <w:rFonts w:ascii="Arial" w:hAnsi="Arial" w:eastAsia="Arial" w:cs="Arial"/>
                <w:b w:val="0"/>
                <w:sz w:val="20"/>
                <w:szCs w:val="20"/>
              </w:rPr>
              <w:t>•</w:t>
              <w:tab/>
              <w:t>Evaluate shift outcomes against safety, production and people objectives.</w:t>
            </w:r>
          </w:p>
          <w:p>
            <w:pPr>
              <w:tabs>
                <w:tab w:pos="170" w:val="left"/>
              </w:tabs>
              <w:spacing w:before="0" w:after="0"/>
              <w:ind w:left="170" w:hanging="170"/>
            </w:pPr>
            <w:r>
              <w:rPr>
                <w:rFonts w:ascii="Arial" w:hAnsi="Arial" w:eastAsia="Arial" w:cs="Arial"/>
                <w:b w:val="0"/>
                <w:sz w:val="20"/>
                <w:szCs w:val="20"/>
              </w:rPr>
              <w:t>•</w:t>
              <w:tab/>
              <w:t>Defend an improvement proposal using records of personal decisions.</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MSOP-5103, MSRC-5104, MSPL-5105</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16</w:t>
            </w:r>
          </w:p>
        </w:tc>
      </w:tr>
    </w:tbl>
    <w:p w14:paraId="0CCA4BE6" w14:textId="7C3A3F6E" w:rsidR="00FF096D" w:rsidRPr="008B6C93" w:rsidRDefault="00FF096D">
      <w:pPr>
        <w:spacing w:before="0" w:after="120"/>
        <w:rPr>
          <w:rFonts w:ascii="Arial" w:hAnsi="Arial" w:eastAsia="Arial" w:cs="Arial"/>
          <w:sz w:val="20"/>
          <w:szCs w:val="20"/>
        </w:rPr>
        <w:sectPr w:rsidR="00FF096D" w:rsidRPr="008B6C93" w:rsidSect="00374014">
          <w:pgSz w:w="11906" w:h="16838"/>
          <w:pgMar w:top="907" w:right="850" w:bottom="907" w:left="850" w:header="397" w:footer="397" w:gutter="0"/>
          <w:cols w:space="720"/>
          <w:docGrid w:linePitch="360"/>
        </w:sectPr>
      </w:pPr>
      <w:r w:rsidRPr="008B6C93">
        <w:rPr>
          <w:rFonts w:ascii="Arial" w:hAnsi="Arial" w:eastAsia="Arial" w:cs="Arial"/>
          <w:sz w:val="20"/>
          <w:szCs w:val="20"/>
        </w:rPr>
        <w:t xml:space="preserve"> </w:t>
      </w:r>
    </w:p>
    <w:p w14:paraId="47CE6469" w14:textId="436C8185" w:rsidR="00C65B51" w:rsidRPr="008B6C93" w:rsidRDefault="00374014">
      <w:pPr>
        <w:pStyle w:val="Heading1"/>
        <w:spacing w:before="0" w:after="120"/>
        <w:rPr>
          <w:rFonts w:ascii="Arial" w:hAnsi="Arial" w:eastAsia="Arial" w:cs="Arial"/>
          <w:sz w:val="20"/>
          <w:szCs w:val="20"/>
        </w:rPr>
      </w:pPr>
      <w:r w:rsidRPr="008B6C93">
        <w:rPr>
          <w:rFonts w:ascii="Arial" w:hAnsi="Arial" w:eastAsia="Arial" w:cs="Arial"/>
          <w:sz w:val="20"/>
          <w:szCs w:val="20"/>
        </w:rPr>
        <w:lastRenderedPageBreak/>
        <w:t xml:space="preserve">Qualification Mapping and Learning Resources </w:t>
      </w:r>
    </w:p>
    <w:tbl>
      <w:tblPr>
        <w:tblW w:w="1488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567"/>
        <w:gridCol w:w="2268"/>
        <w:gridCol w:w="1276"/>
        <w:gridCol w:w="5103"/>
        <w:gridCol w:w="5670"/>
      </w:tblGrid>
      <w:tr w:rsidR="0020464B" w:rsidRPr="008B6C93" w14:paraId="3DB62935" w14:textId="77777777" w:rsidTr="002601F3">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vAlign w:val="top"/>
          </w:tcPr>
          <w:p w14:paraId="6CB904A5" w14:textId="77777777" w:rsidR="0020464B" w:rsidRPr="008B6C93" w:rsidRDefault="0020464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2268" w:type="dxa"/>
            <w:tcBorders>
              <w:top w:val="single" w:sz="4" w:space="0" w:color="000000"/>
              <w:left w:val="single" w:sz="4" w:space="0" w:color="000000"/>
              <w:bottom w:val="single" w:sz="4" w:space="0" w:color="000000"/>
              <w:right w:val="single" w:sz="4" w:space="0" w:color="000000"/>
            </w:tcBorders>
            <w:shd w:val="clear" w:color="auto" w:fill="BFBFBF"/>
            <w:vAlign w:val="top"/>
          </w:tcPr>
          <w:p w14:paraId="10F4229C" w14:textId="4ECCF44F" w:rsidR="0020464B" w:rsidRPr="008B6C93" w:rsidRDefault="0020464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Course </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00E0671C" w14:textId="344F5393" w:rsidR="0020464B" w:rsidRPr="008B6C93" w:rsidRDefault="0020464B" w:rsidP="008862B1">
            <w:pPr>
              <w:pStyle w:val="BodyA"/>
              <w:keepNext/>
              <w:spacing w:after="40" w:line="240" w:lineRule="auto" w:before="40"/>
              <w:contextualSpacing/>
              <w:jc w:val="left"/>
              <w:rPr>
                <w:rFonts w:ascii="Arial" w:hAnsi="Arial" w:eastAsia="Arial" w:cs="Arial"/>
                <w:sz w:val="20"/>
                <w:szCs w:val="20"/>
                <w:lang w:val="en-GB"/>
              </w:rPr>
            </w:pPr>
            <w:r w:rsidRPr="008B6C93">
              <w:rPr>
                <w:rFonts w:ascii="Arial" w:hAnsi="Arial" w:eastAsia="Arial" w:cs="Arial"/>
                <w:b/>
                <w:sz w:val="20"/>
                <w:szCs w:val="20"/>
                <w:lang w:val="en-GB"/>
              </w:rPr>
              <w:t>Mapping to QOL</w:t>
            </w:r>
          </w:p>
        </w:tc>
        <w:tc>
          <w:tcPr>
            <w:tcW w:w="51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3BE045A2" w14:textId="1F019684" w:rsidR="0020464B" w:rsidRPr="008B6C93" w:rsidRDefault="0020464B" w:rsidP="008862B1">
            <w:pPr>
              <w:pStyle w:val="BodyA"/>
              <w:keepNext/>
              <w:spacing w:after="40" w:line="240" w:lineRule="auto" w:before="40"/>
              <w:contextualSpacing/>
              <w:jc w:val="left"/>
              <w:rPr>
                <w:rFonts w:ascii="Arial" w:hAnsi="Arial" w:eastAsia="Arial" w:cs="Arial"/>
                <w:sz w:val="20"/>
                <w:szCs w:val="20"/>
                <w:lang w:val="en-GB"/>
              </w:rPr>
            </w:pPr>
            <w:r w:rsidRPr="008B6C93">
              <w:rPr>
                <w:rFonts w:ascii="Arial" w:hAnsi="Arial" w:eastAsia="Arial" w:cs="Arial"/>
                <w:b/>
                <w:sz w:val="20"/>
                <w:szCs w:val="20"/>
                <w:lang w:val="en-GB"/>
              </w:rPr>
              <w:t xml:space="preserve">Indicating Assessment Evidence </w:t>
            </w:r>
          </w:p>
        </w:tc>
        <w:tc>
          <w:tcPr>
            <w:tcW w:w="5670"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25DC34FE" w14:textId="435814B5" w:rsidR="0020464B" w:rsidRPr="008B6C93" w:rsidRDefault="0020464B" w:rsidP="008862B1">
            <w:pPr>
              <w:pStyle w:val="BodyA"/>
              <w:keepNext/>
              <w:spacing w:after="40" w:line="240" w:lineRule="auto" w:before="40"/>
              <w:contextualSpacing/>
              <w:jc w:val="left"/>
              <w:rPr>
                <w:rFonts w:ascii="Arial" w:hAnsi="Arial" w:eastAsia="Arial" w:cs="Arial"/>
                <w:sz w:val="20"/>
                <w:szCs w:val="20"/>
                <w:lang w:val="en-GB"/>
              </w:rPr>
            </w:pPr>
            <w:r w:rsidRPr="008B6C93">
              <w:rPr>
                <w:rFonts w:ascii="Arial" w:hAnsi="Arial" w:eastAsia="Arial" w:cs="Arial"/>
                <w:b/>
                <w:sz w:val="20"/>
                <w:szCs w:val="20"/>
                <w:lang w:val="en-GB"/>
              </w:rPr>
              <w:t xml:space="preserve">Key Learning Resources (Prescribed and Recommended) </w:t>
            </w:r>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 – English for Communication and Academic Writing (Level 5,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An individually authored referenced report, annotated source appraisal, editing record and oral briefing with questions; retain drafts and source notes.</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10">
              <w:r>
                <w:rPr>
                  <w:rFonts w:ascii="Arial" w:hAnsi="Arial" w:eastAsia="Arial" w:cs="Arial"/>
                  <w:sz w:val="20"/>
                  <w:szCs w:val="20"/>
                </w:rPr>
                <w:t>Grant, T., &amp; Borcherds, R. (2019). Communicating @ work: Boosting your spoken, written and visual impact (4th ed.). Van Schaik.</w:t>
              </w:r>
            </w:hyperlink>
          </w:p>
          <w:p>
            <w:pPr>
              <w:spacing w:after="40" w:line="240" w:lineRule="auto" w:before="40"/>
            </w:pPr>
            <w:hyperlink r:id="rId11">
              <w:r>
                <w:rPr>
                  <w:rFonts w:ascii="Arial" w:hAnsi="Arial" w:eastAsia="Arial" w:cs="Arial"/>
                  <w:sz w:val="20"/>
                  <w:szCs w:val="20"/>
                </w:rPr>
                <w:t>Jonker, B. E., &amp; Mtshelwane, N. D. P. (Eds.). (2021). Developing soft skills for success: A guide for modern professionals. Van Schaik.</w:t>
              </w:r>
            </w:hyperlink>
          </w:p>
          <w:p>
            <w:pPr>
              <w:spacing w:after="40" w:line="240" w:lineRule="auto" w:before="40"/>
            </w:pPr>
            <w:hyperlink r:id="rId12">
              <w:r>
                <w:rPr>
                  <w:rFonts w:ascii="Arial" w:hAnsi="Arial" w:eastAsia="Arial" w:cs="Arial"/>
                  <w:sz w:val="20"/>
                  <w:szCs w:val="20"/>
                </w:rPr>
                <w:t>Smith, J. (2019). Communication at work: A college-to-career guide to success. eCampusOntario.</w:t>
              </w:r>
            </w:hyperlink>
          </w:p>
          <w:p>
            <w:pPr>
              <w:spacing w:after="40" w:line="240" w:lineRule="auto" w:before="40"/>
            </w:pPr>
            <w:hyperlink r:id="rId13">
              <w:r>
                <w:rPr>
                  <w:rFonts w:ascii="Arial" w:hAnsi="Arial" w:eastAsia="Arial" w:cs="Arial"/>
                  <w:sz w:val="20"/>
                  <w:szCs w:val="20"/>
                </w:rPr>
                <w:t>Robinson, M. B., Jerskey, M., &amp; Fulwiler, T. (2021). Writing guide with handbook. OpenStax.</w:t>
              </w:r>
            </w:hyperlink>
          </w:p>
          <w:p>
            <w:pPr>
              <w:spacing w:after="40" w:line="240" w:lineRule="auto" w:before="40"/>
            </w:pPr>
            <w:hyperlink r:id="rId21">
              <w:r>
                <w:rPr>
                  <w:rFonts w:ascii="Arial" w:hAnsi="Arial" w:eastAsia="Arial" w:cs="Arial"/>
                  <w:sz w:val="20"/>
                  <w:szCs w:val="20"/>
                </w:rPr>
                <w:t>Ireton, C., &amp; Posetti, J. (Eds.). (2018). Journalism, “fake news” &amp; disinformation: Handbook for journalism education and training. UNESCO.</w:t>
              </w:r>
            </w:hyperlink>
          </w:p>
          <w:p>
            <w:pPr>
              <w:spacing w:after="40" w:line="240" w:lineRule="auto" w:before="40"/>
            </w:pPr>
            <w:hyperlink r:id="rId15">
              <w:r>
                <w:rPr>
                  <w:rFonts w:ascii="Arial" w:hAnsi="Arial" w:eastAsia="Arial" w:cs="Arial"/>
                  <w:sz w:val="20"/>
                  <w:szCs w:val="20"/>
                </w:rPr>
                <w:t>Sutton, L. B.-M., &amp; le Roux, T. (2025). Internal communication challenges in corporate South Africa after the COVID-19 pandemic. Communicare: Journal for Communication Studies in Africa, 44(3). https://doi.org/10.36615/8qae9f05</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 – Principles of Information Systems (Level 5,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EO3,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A sandbox portfolio containing a validated spreadsheet, workflow diagram, verified AI-output comparison with source log, phishing-response exercise and privacy-aware improvement proposal. Use synthetic data; no real credentials, personal records or live security testing.</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16">
              <w:r>
                <w:rPr>
                  <w:rFonts w:ascii="Arial" w:hAnsi="Arial" w:eastAsia="Arial" w:cs="Arial"/>
                  <w:sz w:val="20"/>
                  <w:szCs w:val="20"/>
                </w:rPr>
                <w:t>LibreOffice Documentation Team. (2024). Getting started guide 24.8. The Document Foundation.</w:t>
              </w:r>
            </w:hyperlink>
          </w:p>
          <w:p>
            <w:pPr>
              <w:spacing w:after="40" w:line="240" w:lineRule="auto" w:before="40"/>
            </w:pPr>
            <w:hyperlink r:id="rId17">
              <w:r>
                <w:rPr>
                  <w:rFonts w:ascii="Arial" w:hAnsi="Arial" w:eastAsia="Arial" w:cs="Arial"/>
                  <w:sz w:val="20"/>
                  <w:szCs w:val="20"/>
                </w:rPr>
                <w:t>Miao, F., Shiohira, K., &amp; Lao, N. (2024). AI competency framework for students. UNESCO. https://doi.org/10.54675/JKJB9835</w:t>
              </w:r>
            </w:hyperlink>
          </w:p>
          <w:p>
            <w:pPr>
              <w:spacing w:after="40" w:line="240" w:lineRule="auto" w:before="40"/>
            </w:pPr>
            <w:hyperlink r:id="rId18">
              <w:r>
                <w:rPr>
                  <w:rFonts w:ascii="Arial" w:hAnsi="Arial" w:eastAsia="Arial" w:cs="Arial"/>
                  <w:sz w:val="20"/>
                  <w:szCs w:val="20"/>
                </w:rPr>
                <w:t>Miao, F., &amp; Holmes, W. (2023). Guidance for generative AI in education and research. UNESCO. https://doi.org/10.54675/EWZM9535</w:t>
              </w:r>
            </w:hyperlink>
          </w:p>
          <w:p>
            <w:pPr>
              <w:spacing w:after="40" w:line="240" w:lineRule="auto" w:before="40"/>
            </w:pPr>
            <w:hyperlink r:id="rId19">
              <w:r>
                <w:rPr>
                  <w:rFonts w:ascii="Arial" w:hAnsi="Arial" w:eastAsia="Arial" w:cs="Arial"/>
                  <w:sz w:val="20"/>
                  <w:szCs w:val="20"/>
                </w:rPr>
                <w:t>Ministry of Information and Communication Technology. (2022). Namibia national cybersecurity strategy &amp; awareness raising plan 2022–2027.</w:t>
              </w:r>
            </w:hyperlink>
          </w:p>
          <w:p>
            <w:pPr>
              <w:spacing w:after="40" w:line="240" w:lineRule="auto" w:before="40"/>
            </w:pPr>
            <w:hyperlink r:id="rId20">
              <w:r>
                <w:rPr>
                  <w:rFonts w:ascii="Arial" w:hAnsi="Arial" w:eastAsia="Arial" w:cs="Arial"/>
                  <w:sz w:val="20"/>
                  <w:szCs w:val="20"/>
                </w:rPr>
                <w:t>Department of Communications and Digital Technologies. (2020). National digital and future skills strategy South Africa (Government Notice 513, Government Gazette 43730).</w:t>
              </w:r>
            </w:hyperlink>
          </w:p>
          <w:p>
            <w:pPr>
              <w:spacing w:after="40" w:line="240" w:lineRule="auto" w:before="40"/>
            </w:pPr>
            <w:hyperlink r:id="rId21">
              <w:r>
                <w:rPr>
                  <w:rFonts w:ascii="Arial" w:hAnsi="Arial" w:eastAsia="Arial" w:cs="Arial"/>
                  <w:sz w:val="20"/>
                  <w:szCs w:val="20"/>
                </w:rPr>
                <w:t>Ireton, C., &amp; Posetti, J. (Eds.). (2018). Journalism, “fake news” &amp; disinformation: Handbook for journalism education and training. UNESCO.</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MSOP-5103 – Mining Operations and Production Planning (Level 5,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EO1</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Shift-plan workbook and operational planning case.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27">
              <w:r>
                <w:rPr>
                  <w:rFonts w:ascii="Arial" w:hAnsi="Arial" w:eastAsia="Arial" w:cs="Arial"/>
                  <w:sz w:val="20"/>
                  <w:szCs w:val="20"/>
                </w:rPr>
                <w:t>International Labour Organization. (2018). Safety and health in opencast mines: ILO code of practice (Rev. ed.).</w:t>
              </w:r>
            </w:hyperlink>
          </w:p>
          <w:p>
            <w:pPr>
              <w:spacing w:after="40" w:line="240" w:lineRule="auto" w:before="40"/>
            </w:pPr>
            <w:hyperlink r:id="rId67">
              <w:r>
                <w:rPr>
                  <w:rFonts w:ascii="Arial" w:hAnsi="Arial" w:eastAsia="Arial" w:cs="Arial"/>
                  <w:sz w:val="20"/>
                  <w:szCs w:val="20"/>
                </w:rPr>
                <w:t>International Organization for Standardization. (2018). Risk management—Guidelines (ISO Standard No. 31000:2018).</w:t>
              </w:r>
            </w:hyperlink>
          </w:p>
          <w:p>
            <w:pPr>
              <w:spacing w:after="40" w:line="240" w:lineRule="auto" w:before="40"/>
            </w:pPr>
            <w:hyperlink r:id="rId68">
              <w:r>
                <w:rPr>
                  <w:rFonts w:ascii="Arial" w:hAnsi="Arial" w:eastAsia="Arial" w:cs="Arial"/>
                  <w:sz w:val="20"/>
                  <w:szCs w:val="20"/>
                </w:rPr>
                <w:t>Bright, D. S., &amp; Cortes, A. H. (2019). Principles of management. OpenStax.</w:t>
              </w:r>
            </w:hyperlink>
          </w:p>
          <w:p>
            <w:pPr>
              <w:spacing w:after="40" w:line="240" w:lineRule="auto" w:before="40"/>
            </w:pPr>
            <w:hyperlink r:id="rId69">
              <w:r>
                <w:rPr>
                  <w:rFonts w:ascii="Arial" w:hAnsi="Arial" w:eastAsia="Arial" w:cs="Arial"/>
                  <w:sz w:val="20"/>
                  <w:szCs w:val="20"/>
                </w:rPr>
                <w:t>Myeni, S. S., &amp; Ngcobo, N. J. (2020). The profile of occupational health and safety: South Africa. Department of Employment and Labour &amp; International Labour Organization.</w:t>
              </w:r>
            </w:hyperlink>
          </w:p>
          <w:p>
            <w:pPr>
              <w:spacing w:after="40" w:line="240" w:lineRule="auto" w:before="40"/>
            </w:pPr>
            <w:hyperlink r:id="rId70">
              <w:r>
                <w:rPr>
                  <w:rFonts w:ascii="Arial" w:hAnsi="Arial" w:eastAsia="Arial" w:cs="Arial"/>
                  <w:sz w:val="20"/>
                  <w:szCs w:val="20"/>
                </w:rPr>
                <w:t>Prinsloo, H., &amp; Hofmeyr, K. B. (2022). Organisational culture, frontline supervisory engagement and accountability, as drivers of safety behaviour in a platinum mining organisation. SA Journal of Human Resource Management, 20, Article a1705. https://doi.org/10.4102/sajhrm.v20i0.1705</w:t>
              </w:r>
            </w:hyperlink>
          </w:p>
          <w:p>
            <w:pPr>
              <w:spacing w:after="40" w:line="240" w:lineRule="auto" w:before="40"/>
            </w:pPr>
            <w:hyperlink r:id="rId71">
              <w:r>
                <w:rPr>
                  <w:rFonts w:ascii="Arial" w:hAnsi="Arial" w:eastAsia="Arial" w:cs="Arial"/>
                  <w:sz w:val="20"/>
                  <w:szCs w:val="20"/>
                </w:rPr>
                <w:t>Mkansi, M., de Villiers, G., &amp; Amadi-Echendu, A. (Eds.). (2020). Emerging issues in operations and supply chain management. Van Schaik.</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MSRC-5104 – Mining Risk and Operational Control (Level 5, 14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EO2</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Risk-control exercise, readiness checklist and escalation simulation.</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27">
              <w:r>
                <w:rPr>
                  <w:rFonts w:ascii="Arial" w:hAnsi="Arial" w:eastAsia="Arial" w:cs="Arial"/>
                  <w:sz w:val="20"/>
                  <w:szCs w:val="20"/>
                </w:rPr>
                <w:t>International Labour Organization. (2018). Safety and health in opencast mines: ILO code of practice (Rev. ed.).</w:t>
              </w:r>
            </w:hyperlink>
          </w:p>
          <w:p>
            <w:pPr>
              <w:spacing w:after="40" w:line="240" w:lineRule="auto" w:before="40"/>
            </w:pPr>
            <w:hyperlink r:id="rId68">
              <w:r>
                <w:rPr>
                  <w:rFonts w:ascii="Arial" w:hAnsi="Arial" w:eastAsia="Arial" w:cs="Arial"/>
                  <w:sz w:val="20"/>
                  <w:szCs w:val="20"/>
                </w:rPr>
                <w:t>Bright, D. S., &amp; Cortes, A. H. (2019). Principles of management. OpenStax.</w:t>
              </w:r>
            </w:hyperlink>
          </w:p>
          <w:p>
            <w:pPr>
              <w:spacing w:after="40" w:line="240" w:lineRule="auto" w:before="40"/>
            </w:pPr>
            <w:hyperlink r:id="rId72">
              <w:r>
                <w:rPr>
                  <w:rFonts w:ascii="Arial" w:hAnsi="Arial" w:eastAsia="Arial" w:cs="Arial"/>
                  <w:sz w:val="20"/>
                  <w:szCs w:val="20"/>
                </w:rPr>
                <w:t>World Health Organization &amp; International Labour Organization. (2022). Mental health at work: Policy brief.</w:t>
              </w:r>
            </w:hyperlink>
          </w:p>
          <w:p>
            <w:pPr>
              <w:spacing w:after="40" w:line="240" w:lineRule="auto" w:before="40"/>
            </w:pPr>
            <w:hyperlink r:id="rId70">
              <w:r>
                <w:rPr>
                  <w:rFonts w:ascii="Arial" w:hAnsi="Arial" w:eastAsia="Arial" w:cs="Arial"/>
                  <w:sz w:val="20"/>
                  <w:szCs w:val="20"/>
                </w:rPr>
                <w:t>Prinsloo, H., &amp; Hofmeyr, K. B. (2022). Organisational culture, frontline supervisory engagement and accountability, as drivers of safety behaviour in a platinum mining organisation. SA Journal of Human Resource Management, 20, Article a1705. https://doi.org/10.4102/sajhrm.v20i0.1705</w:t>
              </w:r>
            </w:hyperlink>
          </w:p>
          <w:p>
            <w:pPr>
              <w:spacing w:after="40" w:line="240" w:lineRule="auto" w:before="40"/>
            </w:pPr>
            <w:hyperlink r:id="rId10">
              <w:r>
                <w:rPr>
                  <w:rFonts w:ascii="Arial" w:hAnsi="Arial" w:eastAsia="Arial" w:cs="Arial"/>
                  <w:sz w:val="20"/>
                  <w:szCs w:val="20"/>
                </w:rPr>
                <w:t>Grant, T., &amp; Borcherds, R. (2019). Communicating @ work: Boosting your spoken, written and visual impact (4th ed.). Van Schaik.</w:t>
              </w:r>
            </w:hyperlink>
          </w:p>
          <w:p>
            <w:pPr>
              <w:spacing w:after="40" w:line="240" w:lineRule="auto" w:before="40"/>
            </w:pPr>
            <w:hyperlink r:id="rId73">
              <w:r>
                <w:rPr>
                  <w:rFonts w:ascii="Arial" w:hAnsi="Arial" w:eastAsia="Arial" w:cs="Arial"/>
                  <w:sz w:val="20"/>
                  <w:szCs w:val="20"/>
                </w:rPr>
                <w:t>Govender, U., van Eck, G., &amp; Genc, B. (2022). An integrated 4Cs safety framework for the diamond industry of Southern Africa. Resources Policy, 77, Article 102774. https://doi.org/10.1016/j.resourpol.2022.102774</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MSPL-5105 – People Leadership and Workplace Relations (Level 5, 14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EO4</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Observed leadership scenarios and an individual coaching portfolio.</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27">
              <w:r>
                <w:rPr>
                  <w:rFonts w:ascii="Arial" w:hAnsi="Arial" w:eastAsia="Arial" w:cs="Arial"/>
                  <w:sz w:val="20"/>
                  <w:szCs w:val="20"/>
                </w:rPr>
                <w:t>International Labour Organization. (2018). Safety and health in opencast mines: ILO code of practice (Rev. ed.).</w:t>
              </w:r>
            </w:hyperlink>
          </w:p>
          <w:p>
            <w:pPr>
              <w:spacing w:after="40" w:line="240" w:lineRule="auto" w:before="40"/>
            </w:pPr>
            <w:hyperlink r:id="rId68">
              <w:r>
                <w:rPr>
                  <w:rFonts w:ascii="Arial" w:hAnsi="Arial" w:eastAsia="Arial" w:cs="Arial"/>
                  <w:sz w:val="20"/>
                  <w:szCs w:val="20"/>
                </w:rPr>
                <w:t>Bright, D. S., &amp; Cortes, A. H. (2019). Principles of management. OpenStax.</w:t>
              </w:r>
            </w:hyperlink>
          </w:p>
          <w:p>
            <w:pPr>
              <w:spacing w:after="40" w:line="240" w:lineRule="auto" w:before="40"/>
            </w:pPr>
            <w:hyperlink r:id="rId72">
              <w:r>
                <w:rPr>
                  <w:rFonts w:ascii="Arial" w:hAnsi="Arial" w:eastAsia="Arial" w:cs="Arial"/>
                  <w:sz w:val="20"/>
                  <w:szCs w:val="20"/>
                </w:rPr>
                <w:t>World Health Organization &amp; International Labour Organization. (2022). Mental health at work: Policy brief.</w:t>
              </w:r>
            </w:hyperlink>
          </w:p>
          <w:p>
            <w:pPr>
              <w:spacing w:after="40" w:line="240" w:lineRule="auto" w:before="40"/>
            </w:pPr>
            <w:hyperlink r:id="rId70">
              <w:r>
                <w:rPr>
                  <w:rFonts w:ascii="Arial" w:hAnsi="Arial" w:eastAsia="Arial" w:cs="Arial"/>
                  <w:sz w:val="20"/>
                  <w:szCs w:val="20"/>
                </w:rPr>
                <w:t>Prinsloo, H., &amp; Hofmeyr, K. B. (2022). Organisational culture, frontline supervisory engagement and accountability, as drivers of safety behaviour in a platinum mining organisation. SA Journal of Human Resource Management, 20, Article a1705. https://doi.org/10.4102/sajhrm.v20i0.1705</w:t>
              </w:r>
            </w:hyperlink>
          </w:p>
          <w:p>
            <w:pPr>
              <w:spacing w:after="40" w:line="240" w:lineRule="auto" w:before="40"/>
            </w:pPr>
            <w:hyperlink r:id="rId10">
              <w:r>
                <w:rPr>
                  <w:rFonts w:ascii="Arial" w:hAnsi="Arial" w:eastAsia="Arial" w:cs="Arial"/>
                  <w:sz w:val="20"/>
                  <w:szCs w:val="20"/>
                </w:rPr>
                <w:t>Grant, T., &amp; Borcherds, R. (2019). Communicating @ work: Boosting your spoken, written and visual impact (4th ed.). Van Schaik.</w:t>
              </w:r>
            </w:hyperlink>
          </w:p>
          <w:p>
            <w:pPr>
              <w:spacing w:after="40" w:line="240" w:lineRule="auto" w:before="40"/>
            </w:pPr>
            <w:hyperlink r:id="rId73">
              <w:r>
                <w:rPr>
                  <w:rFonts w:ascii="Arial" w:hAnsi="Arial" w:eastAsia="Arial" w:cs="Arial"/>
                  <w:sz w:val="20"/>
                  <w:szCs w:val="20"/>
                </w:rPr>
                <w:t>Govender, U., van Eck, G., &amp; Genc, B. (2022). An integrated 4Cs safety framework for the diamond industry of Southern Africa. Resources Policy, 77, Article 102774. https://doi.org/10.1016/j.resourpol.2022.102774</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MSRA-5206 – Resource Allocation and Shift Scheduling (Level 5,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EO1, EO2</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Schedule workbook and resource-disruption scenario.</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27">
              <w:r>
                <w:rPr>
                  <w:rFonts w:ascii="Arial" w:hAnsi="Arial" w:eastAsia="Arial" w:cs="Arial"/>
                  <w:sz w:val="20"/>
                  <w:szCs w:val="20"/>
                </w:rPr>
                <w:t>International Labour Organization. (2018). Safety and health in opencast mines: ILO code of practice (Rev. ed.).</w:t>
              </w:r>
            </w:hyperlink>
          </w:p>
          <w:p>
            <w:pPr>
              <w:spacing w:after="40" w:line="240" w:lineRule="auto" w:before="40"/>
            </w:pPr>
            <w:hyperlink r:id="rId68">
              <w:r>
                <w:rPr>
                  <w:rFonts w:ascii="Arial" w:hAnsi="Arial" w:eastAsia="Arial" w:cs="Arial"/>
                  <w:sz w:val="20"/>
                  <w:szCs w:val="20"/>
                </w:rPr>
                <w:t>Bright, D. S., &amp; Cortes, A. H. (2019). Principles of management. OpenStax.</w:t>
              </w:r>
            </w:hyperlink>
          </w:p>
          <w:p>
            <w:pPr>
              <w:spacing w:after="40" w:line="240" w:lineRule="auto" w:before="40"/>
            </w:pPr>
            <w:hyperlink r:id="rId67">
              <w:r>
                <w:rPr>
                  <w:rFonts w:ascii="Arial" w:hAnsi="Arial" w:eastAsia="Arial" w:cs="Arial"/>
                  <w:sz w:val="20"/>
                  <w:szCs w:val="20"/>
                </w:rPr>
                <w:t>International Organization for Standardization. (2018). Risk management—Guidelines (ISO Standard No. 31000:2018).</w:t>
              </w:r>
            </w:hyperlink>
          </w:p>
          <w:p>
            <w:pPr>
              <w:spacing w:after="40" w:line="240" w:lineRule="auto" w:before="40"/>
            </w:pPr>
            <w:hyperlink r:id="rId71">
              <w:r>
                <w:rPr>
                  <w:rFonts w:ascii="Arial" w:hAnsi="Arial" w:eastAsia="Arial" w:cs="Arial"/>
                  <w:sz w:val="20"/>
                  <w:szCs w:val="20"/>
                </w:rPr>
                <w:t>Mkansi, M., de Villiers, G., &amp; Amadi-Echendu, A. (Eds.). (2020). Emerging issues in operations and supply chain management. Van Schaik.</w:t>
              </w:r>
            </w:hyperlink>
          </w:p>
          <w:p>
            <w:pPr>
              <w:spacing w:after="40" w:line="240" w:lineRule="auto" w:before="40"/>
            </w:pPr>
            <w:hyperlink r:id="rId69">
              <w:r>
                <w:rPr>
                  <w:rFonts w:ascii="Arial" w:hAnsi="Arial" w:eastAsia="Arial" w:cs="Arial"/>
                  <w:sz w:val="20"/>
                  <w:szCs w:val="20"/>
                </w:rPr>
                <w:t>Myeni, S. S., &amp; Ngcobo, N. J. (2020). The profile of occupational health and safety: South Africa. Department of Employment and Labour &amp; International Labour Organization.</w:t>
              </w:r>
            </w:hyperlink>
          </w:p>
          <w:p>
            <w:pPr>
              <w:spacing w:after="40" w:line="240" w:lineRule="auto" w:before="40"/>
            </w:pPr>
            <w:hyperlink r:id="rId11">
              <w:r>
                <w:rPr>
                  <w:rFonts w:ascii="Arial" w:hAnsi="Arial" w:eastAsia="Arial" w:cs="Arial"/>
                  <w:sz w:val="20"/>
                  <w:szCs w:val="20"/>
                </w:rPr>
                <w:t>Jonker, B. E., &amp; Mtshelwane, N. D. P. (Eds.). (2021). Developing soft skills for success: A guide for modern professionals. Van Schaik.</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MSPC-5207 – Production Performance and Cost Control (Level 5,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EO3</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Performance dashboard and justified cost-control recommendation.</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27">
              <w:r>
                <w:rPr>
                  <w:rFonts w:ascii="Arial" w:hAnsi="Arial" w:eastAsia="Arial" w:cs="Arial"/>
                  <w:sz w:val="20"/>
                  <w:szCs w:val="20"/>
                </w:rPr>
                <w:t>International Labour Organization. (2018). Safety and health in opencast mines: ILO code of practice (Rev. ed.).</w:t>
              </w:r>
            </w:hyperlink>
          </w:p>
          <w:p>
            <w:pPr>
              <w:spacing w:after="40" w:line="240" w:lineRule="auto" w:before="40"/>
            </w:pPr>
            <w:hyperlink r:id="rId68">
              <w:r>
                <w:rPr>
                  <w:rFonts w:ascii="Arial" w:hAnsi="Arial" w:eastAsia="Arial" w:cs="Arial"/>
                  <w:sz w:val="20"/>
                  <w:szCs w:val="20"/>
                </w:rPr>
                <w:t>Bright, D. S., &amp; Cortes, A. H. (2019). Principles of management. OpenStax.</w:t>
              </w:r>
            </w:hyperlink>
          </w:p>
          <w:p>
            <w:pPr>
              <w:spacing w:after="40" w:line="240" w:lineRule="auto" w:before="40"/>
            </w:pPr>
            <w:hyperlink r:id="rId74">
              <w:r>
                <w:rPr>
                  <w:rFonts w:ascii="Arial" w:hAnsi="Arial" w:eastAsia="Arial" w:cs="Arial"/>
                  <w:sz w:val="20"/>
                  <w:szCs w:val="20"/>
                </w:rPr>
                <w:t>International Organization for Standardization. (2018). Occupational health and safety management systems—Requirements with guidance for use (ISO Standard No. 45001:2018).</w:t>
              </w:r>
            </w:hyperlink>
          </w:p>
          <w:p>
            <w:pPr>
              <w:spacing w:after="40" w:line="240" w:lineRule="auto" w:before="40"/>
            </w:pPr>
            <w:hyperlink r:id="rId70">
              <w:r>
                <w:rPr>
                  <w:rFonts w:ascii="Arial" w:hAnsi="Arial" w:eastAsia="Arial" w:cs="Arial"/>
                  <w:sz w:val="20"/>
                  <w:szCs w:val="20"/>
                </w:rPr>
                <w:t>Prinsloo, H., &amp; Hofmeyr, K. B. (2022). Organisational culture, frontline supervisory engagement and accountability, as drivers of safety behaviour in a platinum mining organisation. SA Journal of Human Resource Management, 20, Article a1705. https://doi.org/10.4102/sajhrm.v20i0.1705</w:t>
              </w:r>
            </w:hyperlink>
          </w:p>
          <w:p>
            <w:pPr>
              <w:spacing w:after="40" w:line="240" w:lineRule="auto" w:before="40"/>
            </w:pPr>
            <w:hyperlink r:id="rId73">
              <w:r>
                <w:rPr>
                  <w:rFonts w:ascii="Arial" w:hAnsi="Arial" w:eastAsia="Arial" w:cs="Arial"/>
                  <w:sz w:val="20"/>
                  <w:szCs w:val="20"/>
                </w:rPr>
                <w:t>Govender, U., van Eck, G., &amp; Genc, B. (2022). An integrated 4Cs safety framework for the diamond industry of Southern Africa. Resources Policy, 77, Article 102774. https://doi.org/10.1016/j.resourpol.2022.102774</w:t>
              </w:r>
            </w:hyperlink>
          </w:p>
          <w:p>
            <w:pPr>
              <w:spacing w:after="40" w:line="240" w:lineRule="auto" w:before="40"/>
            </w:pPr>
            <w:hyperlink r:id="rId10">
              <w:r>
                <w:rPr>
                  <w:rFonts w:ascii="Arial" w:hAnsi="Arial" w:eastAsia="Arial" w:cs="Arial"/>
                  <w:sz w:val="20"/>
                  <w:szCs w:val="20"/>
                </w:rPr>
                <w:t>Grant, T., &amp; Borcherds, R. (2019). Communicating @ work: Boosting your spoken, written and visual impact (4th ed.). Van Schaik.</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MSCC-5208 – Contractor and Maintenance Coordination (Level 5,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EO2, EO4</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Interface plan and supervised coordination simulation.</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27">
              <w:r>
                <w:rPr>
                  <w:rFonts w:ascii="Arial" w:hAnsi="Arial" w:eastAsia="Arial" w:cs="Arial"/>
                  <w:sz w:val="20"/>
                  <w:szCs w:val="20"/>
                </w:rPr>
                <w:t>International Labour Organization. (2018). Safety and health in opencast mines: ILO code of practice (Rev. ed.).</w:t>
              </w:r>
            </w:hyperlink>
          </w:p>
          <w:p>
            <w:pPr>
              <w:spacing w:after="40" w:line="240" w:lineRule="auto" w:before="40"/>
            </w:pPr>
            <w:hyperlink r:id="rId68">
              <w:r>
                <w:rPr>
                  <w:rFonts w:ascii="Arial" w:hAnsi="Arial" w:eastAsia="Arial" w:cs="Arial"/>
                  <w:sz w:val="20"/>
                  <w:szCs w:val="20"/>
                </w:rPr>
                <w:t>Bright, D. S., &amp; Cortes, A. H. (2019). Principles of management. OpenStax.</w:t>
              </w:r>
            </w:hyperlink>
          </w:p>
          <w:p>
            <w:pPr>
              <w:spacing w:after="40" w:line="240" w:lineRule="auto" w:before="40"/>
            </w:pPr>
            <w:hyperlink r:id="rId67">
              <w:r>
                <w:rPr>
                  <w:rFonts w:ascii="Arial" w:hAnsi="Arial" w:eastAsia="Arial" w:cs="Arial"/>
                  <w:sz w:val="20"/>
                  <w:szCs w:val="20"/>
                </w:rPr>
                <w:t>International Organization for Standardization. (2018). Risk management—Guidelines (ISO Standard No. 31000:2018).</w:t>
              </w:r>
            </w:hyperlink>
          </w:p>
          <w:p>
            <w:pPr>
              <w:spacing w:after="40" w:line="240" w:lineRule="auto" w:before="40"/>
            </w:pPr>
            <w:hyperlink r:id="rId71">
              <w:r>
                <w:rPr>
                  <w:rFonts w:ascii="Arial" w:hAnsi="Arial" w:eastAsia="Arial" w:cs="Arial"/>
                  <w:sz w:val="20"/>
                  <w:szCs w:val="20"/>
                </w:rPr>
                <w:t>Mkansi, M., de Villiers, G., &amp; Amadi-Echendu, A. (Eds.). (2020). Emerging issues in operations and supply chain management. Van Schaik.</w:t>
              </w:r>
            </w:hyperlink>
          </w:p>
          <w:p>
            <w:pPr>
              <w:spacing w:after="40" w:line="240" w:lineRule="auto" w:before="40"/>
            </w:pPr>
            <w:hyperlink r:id="rId69">
              <w:r>
                <w:rPr>
                  <w:rFonts w:ascii="Arial" w:hAnsi="Arial" w:eastAsia="Arial" w:cs="Arial"/>
                  <w:sz w:val="20"/>
                  <w:szCs w:val="20"/>
                </w:rPr>
                <w:t>Myeni, S. S., &amp; Ngcobo, N. J. (2020). The profile of occupational health and safety: South Africa. Department of Employment and Labour &amp; International Labour Organization.</w:t>
              </w:r>
            </w:hyperlink>
          </w:p>
          <w:p>
            <w:pPr>
              <w:spacing w:after="40" w:line="240" w:lineRule="auto" w:before="40"/>
            </w:pPr>
            <w:hyperlink r:id="rId11">
              <w:r>
                <w:rPr>
                  <w:rFonts w:ascii="Arial" w:hAnsi="Arial" w:eastAsia="Arial" w:cs="Arial"/>
                  <w:sz w:val="20"/>
                  <w:szCs w:val="20"/>
                </w:rPr>
                <w:t>Jonker, B. E., &amp; Mtshelwane, N. D. P. (Eds.). (2021). Developing soft skills for success: A guide for modern professionals. Van Schaik.</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MSTL-5209 – Team Learning and Operational Improvement (Level 5,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EO4</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Facilitated improvement session and learning-evaluation portfolio.</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68">
              <w:r>
                <w:rPr>
                  <w:rFonts w:ascii="Arial" w:hAnsi="Arial" w:eastAsia="Arial" w:cs="Arial"/>
                  <w:sz w:val="20"/>
                  <w:szCs w:val="20"/>
                </w:rPr>
                <w:t>Bright, D. S., &amp; Cortes, A. H. (2019). Principles of management. OpenStax.</w:t>
              </w:r>
            </w:hyperlink>
          </w:p>
          <w:p>
            <w:pPr>
              <w:spacing w:after="40" w:line="240" w:lineRule="auto" w:before="40"/>
            </w:pPr>
            <w:hyperlink r:id="rId72">
              <w:r>
                <w:rPr>
                  <w:rFonts w:ascii="Arial" w:hAnsi="Arial" w:eastAsia="Arial" w:cs="Arial"/>
                  <w:sz w:val="20"/>
                  <w:szCs w:val="20"/>
                </w:rPr>
                <w:t>World Health Organization &amp; International Labour Organization. (2022). Mental health at work: Policy brief.</w:t>
              </w:r>
            </w:hyperlink>
          </w:p>
          <w:p>
            <w:pPr>
              <w:spacing w:after="40" w:line="240" w:lineRule="auto" w:before="40"/>
            </w:pPr>
            <w:hyperlink r:id="rId27">
              <w:r>
                <w:rPr>
                  <w:rFonts w:ascii="Arial" w:hAnsi="Arial" w:eastAsia="Arial" w:cs="Arial"/>
                  <w:sz w:val="20"/>
                  <w:szCs w:val="20"/>
                </w:rPr>
                <w:t>International Labour Organization. (2018). Safety and health in opencast mines: ILO code of practice (Rev. ed.).</w:t>
              </w:r>
            </w:hyperlink>
          </w:p>
          <w:p>
            <w:pPr>
              <w:spacing w:after="40" w:line="240" w:lineRule="auto" w:before="40"/>
            </w:pPr>
            <w:hyperlink r:id="rId70">
              <w:r>
                <w:rPr>
                  <w:rFonts w:ascii="Arial" w:hAnsi="Arial" w:eastAsia="Arial" w:cs="Arial"/>
                  <w:sz w:val="20"/>
                  <w:szCs w:val="20"/>
                </w:rPr>
                <w:t>Prinsloo, H., &amp; Hofmeyr, K. B. (2022). Organisational culture, frontline supervisory engagement and accountability, as drivers of safety behaviour in a platinum mining organisation. SA Journal of Human Resource Management, 20, Article a1705. https://doi.org/10.4102/sajhrm.v20i0.1705</w:t>
              </w:r>
            </w:hyperlink>
          </w:p>
          <w:p>
            <w:pPr>
              <w:spacing w:after="40" w:line="240" w:lineRule="auto" w:before="40"/>
            </w:pPr>
            <w:hyperlink r:id="rId11">
              <w:r>
                <w:rPr>
                  <w:rFonts w:ascii="Arial" w:hAnsi="Arial" w:eastAsia="Arial" w:cs="Arial"/>
                  <w:sz w:val="20"/>
                  <w:szCs w:val="20"/>
                </w:rPr>
                <w:t>Jonker, B. E., &amp; Mtshelwane, N. D. P. (Eds.). (2021). Developing soft skills for success: A guide for modern professionals. Van Schaik.</w:t>
              </w:r>
            </w:hyperlink>
          </w:p>
          <w:p>
            <w:pPr>
              <w:spacing w:after="40" w:line="240" w:lineRule="auto" w:before="40"/>
            </w:pPr>
            <w:hyperlink r:id="rId10">
              <w:r>
                <w:rPr>
                  <w:rFonts w:ascii="Arial" w:hAnsi="Arial" w:eastAsia="Arial" w:cs="Arial"/>
                  <w:sz w:val="20"/>
                  <w:szCs w:val="20"/>
                </w:rPr>
                <w:t>Grant, T., &amp; Borcherds, R. (2019). Communicating @ work: Boosting your spoken, written and visual impact (4th ed.). Van Schaik.</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MSIP-5210 – Integrated Mining Supervision Project (Level 5, 16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EO1, EO2, EO3, EO4, EO5, EO6</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Shift simulation, individual decision log, improvement report and oral defence.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27">
              <w:r>
                <w:rPr>
                  <w:rFonts w:ascii="Arial" w:hAnsi="Arial" w:eastAsia="Arial" w:cs="Arial"/>
                  <w:sz w:val="20"/>
                  <w:szCs w:val="20"/>
                </w:rPr>
                <w:t>International Labour Organization. (2018). Safety and health in opencast mines: ILO code of practice (Rev. ed.).</w:t>
              </w:r>
            </w:hyperlink>
          </w:p>
          <w:p>
            <w:pPr>
              <w:spacing w:after="40" w:line="240" w:lineRule="auto" w:before="40"/>
            </w:pPr>
            <w:hyperlink r:id="rId74">
              <w:r>
                <w:rPr>
                  <w:rFonts w:ascii="Arial" w:hAnsi="Arial" w:eastAsia="Arial" w:cs="Arial"/>
                  <w:sz w:val="20"/>
                  <w:szCs w:val="20"/>
                </w:rPr>
                <w:t>International Organization for Standardization. (2018). Occupational health and safety management systems—Requirements with guidance for use (ISO Standard No. 45001:2018).</w:t>
              </w:r>
            </w:hyperlink>
          </w:p>
          <w:p>
            <w:pPr>
              <w:spacing w:after="40" w:line="240" w:lineRule="auto" w:before="40"/>
            </w:pPr>
            <w:hyperlink r:id="rId68">
              <w:r>
                <w:rPr>
                  <w:rFonts w:ascii="Arial" w:hAnsi="Arial" w:eastAsia="Arial" w:cs="Arial"/>
                  <w:sz w:val="20"/>
                  <w:szCs w:val="20"/>
                </w:rPr>
                <w:t>Bright, D. S., &amp; Cortes, A. H. (2019). Principles of management. OpenStax.</w:t>
              </w:r>
            </w:hyperlink>
          </w:p>
          <w:p>
            <w:pPr>
              <w:spacing w:after="40" w:line="240" w:lineRule="auto" w:before="40"/>
            </w:pPr>
            <w:hyperlink r:id="rId70">
              <w:r>
                <w:rPr>
                  <w:rFonts w:ascii="Arial" w:hAnsi="Arial" w:eastAsia="Arial" w:cs="Arial"/>
                  <w:sz w:val="20"/>
                  <w:szCs w:val="20"/>
                </w:rPr>
                <w:t>Prinsloo, H., &amp; Hofmeyr, K. B. (2022). Organisational culture, frontline supervisory engagement and accountability, as drivers of safety behaviour in a platinum mining organisation. SA Journal of Human Resource Management, 20, Article a1705. https://doi.org/10.4102/sajhrm.v20i0.1705</w:t>
              </w:r>
            </w:hyperlink>
          </w:p>
          <w:p>
            <w:pPr>
              <w:spacing w:after="40" w:line="240" w:lineRule="auto" w:before="40"/>
            </w:pPr>
            <w:hyperlink r:id="rId73">
              <w:r>
                <w:rPr>
                  <w:rFonts w:ascii="Arial" w:hAnsi="Arial" w:eastAsia="Arial" w:cs="Arial"/>
                  <w:sz w:val="20"/>
                  <w:szCs w:val="20"/>
                </w:rPr>
                <w:t>Govender, U., van Eck, G., &amp; Genc, B. (2022). An integrated 4Cs safety framework for the diamond industry of Southern Africa. Resources Policy, 77, Article 102774. https://doi.org/10.1016/j.resourpol.2022.102774</w:t>
              </w:r>
            </w:hyperlink>
          </w:p>
          <w:p>
            <w:pPr>
              <w:spacing w:after="40" w:line="240" w:lineRule="auto" w:before="40"/>
            </w:pPr>
            <w:hyperlink r:id="rId71">
              <w:r>
                <w:rPr>
                  <w:rFonts w:ascii="Arial" w:hAnsi="Arial" w:eastAsia="Arial" w:cs="Arial"/>
                  <w:sz w:val="20"/>
                  <w:szCs w:val="20"/>
                </w:rPr>
                <w:t>Mkansi, M., de Villiers, G., &amp; Amadi-Echendu, A. (Eds.). (2020). Emerging issues in operations and supply chain management. Van Schaik.</w:t>
              </w:r>
            </w:hyperlink>
          </w:p>
        </w:tc>
      </w:tr>
    </w:tbl>
    <w:p w14:paraId="69544E13" w14:textId="77777777" w:rsidR="00BA2940" w:rsidRPr="008B6C93" w:rsidRDefault="00BA2940" w:rsidP="00BA2940">
      <w:pPr>
        <w:pStyle w:val="Heading1"/>
        <w:spacing w:before="0" w:after="120"/>
        <w:rPr>
          <w:rFonts w:ascii="Arial" w:hAnsi="Arial" w:eastAsia="Arial" w:cs="Arial"/>
          <w:sz w:val="20"/>
          <w:szCs w:val="20"/>
        </w:rPr>
      </w:pPr>
      <w:r w:rsidRPr="008B6C93">
        <w:rPr>
          <w:rFonts w:ascii="Arial" w:hAnsi="Arial" w:eastAsia="Arial" w:cs="Arial"/>
          <w:sz w:val="20"/>
          <w:szCs w:val="20"/>
        </w:rPr>
        <w:t>Comparative Benchmarking</w:t>
      </w:r>
    </w:p>
    <w:p w14:paraId="624416E7" w14:textId="77777777" w:rsidR="00BA2940" w:rsidRPr="008B6C93" w:rsidRDefault="00BA2940" w:rsidP="00BA2940">
      <w:pPr>
        <w:keepNext/>
        <w:spacing w:before="0" w:after="120"/>
        <w:rPr>
          <w:rFonts w:ascii="Arial" w:hAnsi="Arial" w:eastAsia="Arial" w:cs="Arial"/>
          <w:sz w:val="20"/>
          <w:szCs w:val="20"/>
        </w:rPr>
      </w:pPr>
      <w:r w:rsidRPr="008B6C93">
        <w:rPr>
          <w:rFonts w:ascii="Arial" w:hAnsi="Arial" w:eastAsia="Arial" w:cs="Arial"/>
          <w:sz w:val="20"/>
          <w:szCs w:val="20"/>
        </w:rPr>
        <w:t xml:space="preserve">The comparators inform content and assessment design. Foreign levels, credit </w:t>
      </w:r>
      <w:proofErr w:type="gramStart"/>
      <w:r w:rsidRPr="008B6C93">
        <w:rPr>
          <w:rFonts w:ascii="Arial" w:hAnsi="Arial" w:eastAsia="Arial" w:cs="Arial"/>
          <w:sz w:val="20"/>
          <w:szCs w:val="20"/>
        </w:rPr>
        <w:t>values</w:t>
      </w:r>
      <w:proofErr w:type="gramEnd"/>
      <w:r w:rsidRPr="008B6C93">
        <w:rPr>
          <w:rFonts w:ascii="Arial" w:hAnsi="Arial" w:eastAsia="Arial" w:cs="Arial"/>
          <w:sz w:val="20"/>
          <w:szCs w:val="20"/>
        </w:rPr>
        <w:t xml:space="preserve"> and occupational privileges are not treated as equivalent to this proposed Namibian qualification.</w:t>
      </w:r>
    </w:p>
    <w:tbl>
      <w:tblPr>
        <w:tblStyle w:val="TableGrid"/>
        <w:tblW w:w="0" w:type="auto"/>
        <w:tblInd w:w="108" w:type="dxa"/>
        <w:tblLook w:val="04A0" w:firstRow="1" w:lastRow="0" w:firstColumn="1" w:lastColumn="0" w:noHBand="0" w:noVBand="1"/>
      </w:tblPr>
      <w:tblGrid>
        <w:gridCol w:w="1701"/>
        <w:gridCol w:w="3119"/>
        <w:gridCol w:w="2977"/>
        <w:gridCol w:w="2268"/>
        <w:gridCol w:w="5067"/>
      </w:tblGrid>
      <w:tr w:rsidR="00BA2940" w:rsidRPr="008B6C93" w14:paraId="328A2D6D" w14:textId="77777777" w:rsidTr="00BA2940">
        <w:trPr>
          <w:tblHeader/>
        </w:trPr>
        <w:tc>
          <w:tcPr>
            <w:tcW w:w="1701" w:type="dxa"/>
            <w:shd w:val="clear" w:color="auto" w:fill="D9D9D9" w:themeFill="background1" w:themeFillShade="D9"/>
            <w:vAlign w:val="top"/>
          </w:tcPr>
          <w:p w14:paraId="1FCA3176" w14:textId="628226F2"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Context</w:t>
            </w:r>
          </w:p>
        </w:tc>
        <w:tc>
          <w:tcPr>
            <w:tcW w:w="3119" w:type="dxa"/>
            <w:shd w:val="clear" w:color="auto" w:fill="D9D9D9" w:themeFill="background1" w:themeFillShade="D9"/>
            <w:vAlign w:val="top"/>
          </w:tcPr>
          <w:p w14:paraId="2AD83BB5" w14:textId="00682825"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Comparator and source</w:t>
            </w:r>
          </w:p>
        </w:tc>
        <w:tc>
          <w:tcPr>
            <w:tcW w:w="2977" w:type="dxa"/>
            <w:shd w:val="clear" w:color="auto" w:fill="D9D9D9" w:themeFill="background1" w:themeFillShade="D9"/>
            <w:vAlign w:val="top"/>
          </w:tcPr>
          <w:p w14:paraId="44775F4D" w14:textId="36D8BC47"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Relevant features</w:t>
            </w:r>
          </w:p>
        </w:tc>
        <w:tc>
          <w:tcPr>
            <w:tcW w:w="2268" w:type="dxa"/>
            <w:shd w:val="clear" w:color="auto" w:fill="D9D9D9" w:themeFill="background1" w:themeFillShade="D9"/>
            <w:vAlign w:val="top"/>
          </w:tcPr>
          <w:p w14:paraId="328FF0EE" w14:textId="33BBC969"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Modules</w:t>
            </w:r>
          </w:p>
        </w:tc>
        <w:tc>
          <w:tcPr>
            <w:tcW w:w="5067" w:type="dxa"/>
            <w:shd w:val="clear" w:color="auto" w:fill="D9D9D9" w:themeFill="background1" w:themeFillShade="D9"/>
            <w:vAlign w:val="top"/>
          </w:tcPr>
          <w:p w14:paraId="571A99C6" w14:textId="462A8C4C"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Adaptation and limits</w:t>
            </w:r>
          </w:p>
        </w:tc>
      </w:tr>
      <w:tr w:rsidR="00BA2940" w:rsidRPr="008B6C93" w14:paraId="6C979BF1" w14:textId="77777777" w:rsidTr="00BA2940">
        <w:trPr/>
        <w:tc>
          <w:tcPr>
            <w:tcW w:w="1701" w:type="dxa"/>
            <w:vAlign w:val="top"/>
          </w:tcPr>
          <w:p>
            <w:pPr>
              <w:spacing w:before="40" w:after="40" w:line="240" w:lineRule="auto"/>
              <w:jc w:val="left"/>
            </w:pPr>
            <w:r>
              <w:rPr>
                <w:rFonts w:ascii="Arial" w:hAnsi="Arial" w:eastAsia="Arial" w:cs="Arial"/>
                <w:b w:val="0"/>
                <w:sz w:val="20"/>
                <w:szCs w:val="20"/>
              </w:rPr>
              <w:t>Comparative curriculum design</w:t>
            </w:r>
          </w:p>
        </w:tc>
        <w:tc>
          <w:tcPr>
            <w:tcW w:w="3119" w:type="dxa"/>
            <w:vAlign w:val="top"/>
          </w:tcPr>
          <w:p>
            <w:pPr>
              <w:spacing w:before="40" w:after="40" w:line="240" w:lineRule="auto"/>
              <w:jc w:val="left"/>
            </w:pPr>
            <w:r>
              <w:rPr>
                <w:rFonts w:ascii="Arial" w:hAnsi="Arial" w:eastAsia="Arial" w:cs="Arial"/>
                <w:b w:val="0"/>
                <w:sz w:val="20"/>
                <w:szCs w:val="20"/>
              </w:rPr>
              <w:t>Current Level 5 benchmarking report for OCOL-5022</w:t>
            </w:r>
          </w:p>
        </w:tc>
        <w:tc>
          <w:tcPr>
            <w:tcW w:w="2977" w:type="dxa"/>
            <w:vAlign w:val="top"/>
          </w:tcPr>
          <w:p>
            <w:pPr>
              <w:spacing w:before="40" w:after="40" w:line="240" w:lineRule="auto"/>
              <w:jc w:val="left"/>
            </w:pPr>
            <w:r>
              <w:rPr>
                <w:rFonts w:ascii="Arial" w:hAnsi="Arial" w:eastAsia="Arial" w:cs="Arial"/>
                <w:b w:val="0"/>
                <w:sz w:val="20"/>
                <w:szCs w:val="20"/>
              </w:rPr>
              <w:t>South Africa: SAQA 119283: NQF 5; 200 credits: knowledge 84, practical 76, workplace 40. Mine-section production, planning and supervision. Registered 2022–2027. Appointment also depends on South African competency requirements; 120 credits cannot reproduce this full scope. Australia: RII50120: Diploma; 13 units: three core and ten electives. No direct conversion to Namibian credits. Surface-mine management, compliance and risk systems; 2026 release. A managerial-content reference, not evidence that graduates can occupy statutory mining posts. The College response retains the operational boundaries and uses an individual integrated project rather than claiming occupational equivalence.</w:t>
            </w:r>
          </w:p>
        </w:tc>
        <w:tc>
          <w:tcPr>
            <w:tcW w:w="2268" w:type="dxa"/>
            <w:vAlign w:val="top"/>
          </w:tcPr>
          <w:p>
            <w:pPr>
              <w:spacing w:before="40" w:after="40" w:line="240" w:lineRule="auto"/>
              <w:jc w:val="left"/>
            </w:pPr>
            <w:r>
              <w:rPr>
                <w:rFonts w:ascii="Arial" w:hAnsi="Arial" w:eastAsia="Arial" w:cs="Arial"/>
                <w:b w:val="0"/>
                <w:sz w:val="20"/>
                <w:szCs w:val="20"/>
              </w:rPr>
              <w:t>MSOP-5103, MSRC-5104, MSPL-5105, MSRA-5206, MSPC-5207, MSCC-5208, MSTL-5209, MSIP-5210</w:t>
            </w:r>
          </w:p>
        </w:tc>
        <w:tc>
          <w:tcPr>
            <w:tcW w:w="5067" w:type="dxa"/>
            <w:vAlign w:val="top"/>
          </w:tcPr>
          <w:p>
            <w:pPr>
              <w:spacing w:before="40" w:after="40" w:line="240" w:lineRule="auto"/>
              <w:jc w:val="left"/>
            </w:pPr>
            <w:r>
              <w:rPr>
                <w:rFonts w:ascii="Arial" w:hAnsi="Arial" w:eastAsia="Arial" w:cs="Arial"/>
                <w:b w:val="0"/>
                <w:sz w:val="20"/>
                <w:szCs w:val="20"/>
              </w:rPr>
              <w:t>Comparators inform content and assessment; no automatic equivalence, professional status or credit transfer is claimed.</w:t>
            </w:r>
          </w:p>
        </w:tc>
      </w:tr>
    </w:tbl>
    <w:p w14:paraId="6AE23700" w14:textId="77777777" w:rsidR="00BA2940" w:rsidRPr="008B6C93" w:rsidRDefault="00BA2940" w:rsidP="00BA2940">
      <w:pPr>
        <w:pStyle w:val="Heading1"/>
        <w:spacing w:before="0" w:after="120"/>
        <w:rPr>
          <w:rFonts w:ascii="Arial" w:hAnsi="Arial" w:eastAsia="Arial" w:cs="Arial"/>
          <w:sz w:val="20"/>
          <w:szCs w:val="20"/>
        </w:rPr>
      </w:pPr>
      <w:r w:rsidRPr="008B6C93">
        <w:rPr>
          <w:rFonts w:ascii="Arial" w:hAnsi="Arial" w:eastAsia="Arial" w:cs="Arial"/>
          <w:sz w:val="20"/>
          <w:szCs w:val="20"/>
        </w:rPr>
        <w:t>Oranjemund and Regional Needs</w:t>
      </w:r>
    </w:p>
    <w:tbl>
      <w:tblPr>
        <w:tblStyle w:val="TableGrid"/>
        <w:tblW w:w="0" w:type="auto"/>
        <w:tblInd w:w="108" w:type="dxa"/>
        <w:tblLook w:val="04A0" w:firstRow="1" w:lastRow="0" w:firstColumn="1" w:lastColumn="0" w:noHBand="0" w:noVBand="1"/>
      </w:tblPr>
      <w:tblGrid>
        <w:gridCol w:w="3702"/>
        <w:gridCol w:w="3810"/>
        <w:gridCol w:w="2553"/>
        <w:gridCol w:w="5067"/>
      </w:tblGrid>
      <w:tr w:rsidR="00BA2940" w:rsidRPr="008B6C93" w14:paraId="2FDFB843" w14:textId="77777777" w:rsidTr="009D0658">
        <w:trPr>
          <w:tblHeader/>
        </w:trPr>
        <w:tc>
          <w:tcPr>
            <w:tcW w:w="3702" w:type="dxa"/>
            <w:shd w:val="clear" w:color="auto" w:fill="D9D9D9" w:themeFill="background1" w:themeFillShade="D9"/>
            <w:vAlign w:val="top"/>
          </w:tcPr>
          <w:p w14:paraId="20E70E69" w14:textId="0E89EDC3"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Contextual need</w:t>
            </w:r>
          </w:p>
        </w:tc>
        <w:tc>
          <w:tcPr>
            <w:tcW w:w="3810" w:type="dxa"/>
            <w:shd w:val="clear" w:color="auto" w:fill="D9D9D9" w:themeFill="background1" w:themeFillShade="D9"/>
            <w:vAlign w:val="top"/>
          </w:tcPr>
          <w:p w14:paraId="5B20949B" w14:textId="1715341A"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Evidence source</w:t>
            </w:r>
          </w:p>
        </w:tc>
        <w:tc>
          <w:tcPr>
            <w:tcW w:w="2553" w:type="dxa"/>
            <w:shd w:val="clear" w:color="auto" w:fill="D9D9D9" w:themeFill="background1" w:themeFillShade="D9"/>
            <w:vAlign w:val="top"/>
          </w:tcPr>
          <w:p w14:paraId="0BF1DC92" w14:textId="237C8EE8"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Modules</w:t>
            </w:r>
          </w:p>
        </w:tc>
        <w:tc>
          <w:tcPr>
            <w:tcW w:w="5067" w:type="dxa"/>
            <w:shd w:val="clear" w:color="auto" w:fill="D9D9D9" w:themeFill="background1" w:themeFillShade="D9"/>
            <w:vAlign w:val="top"/>
          </w:tcPr>
          <w:p w14:paraId="58A793D8" w14:textId="7C831C5D"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Assessed learning response</w:t>
            </w:r>
          </w:p>
        </w:tc>
      </w:tr>
      <w:tr w:rsidR="00BA2940" w:rsidRPr="008B6C93" w14:paraId="6C177CFC" w14:textId="77777777" w:rsidTr="009D0658">
        <w:trPr/>
        <w:tc>
          <w:tcPr>
            <w:tcW w:w="3702" w:type="dxa"/>
            <w:vAlign w:val="top"/>
          </w:tcPr>
          <w:p>
            <w:pPr>
              <w:spacing w:before="40" w:after="40" w:line="240" w:lineRule="auto"/>
              <w:jc w:val="left"/>
            </w:pPr>
            <w:r>
              <w:rPr>
                <w:rFonts w:ascii="Arial" w:hAnsi="Arial" w:eastAsia="Arial" w:cs="Arial"/>
                <w:b w:val="0"/>
                <w:sz w:val="20"/>
                <w:szCs w:val="20"/>
              </w:rPr>
              <w:t>Programme rationale and regional context</w:t>
            </w:r>
          </w:p>
        </w:tc>
        <w:tc>
          <w:tcPr>
            <w:tcW w:w="3810" w:type="dxa"/>
            <w:vAlign w:val="top"/>
          </w:tcPr>
          <w:p>
            <w:pPr>
              <w:spacing w:before="40" w:after="40" w:line="240" w:lineRule="auto"/>
              <w:jc w:val="left"/>
            </w:pPr>
            <w:r>
              <w:rPr>
                <w:rFonts w:ascii="Arial" w:hAnsi="Arial" w:eastAsia="Arial" w:cs="Arial"/>
                <w:b w:val="0"/>
                <w:sz w:val="20"/>
                <w:szCs w:val="20"/>
              </w:rPr>
              <w:t>The programme is justified as preparation for supervised coordination and progression by workers with relevant foundations. It should not promise direct entry to mine-management appointments. Learners require practice in reconciling production objectives with safe work, resource limits and workforce communication. Industry direct employment was 20,798 in 2025, compared with 20,843 in 2024 (Chamber of Mines of Namibia, 2026, p. 4). Plan around upskilling and replacement needs; these totals do not demonstrate net growth in supervisory vacancies. Namdeb reports that Sendelingsdrif was mothballed in June 2025 and that 126 affected employees were redeployed (Chamber of Mines of Namibia, 2026, p. 56). Include change communication, allocation and transferable skills. Do not assume continued demand at a named operation.</w:t>
            </w:r>
          </w:p>
        </w:tc>
        <w:tc>
          <w:tcPr>
            <w:tcW w:w="2553" w:type="dxa"/>
            <w:vAlign w:val="top"/>
          </w:tcPr>
          <w:p>
            <w:pPr>
              <w:spacing w:before="40" w:after="40" w:line="240" w:lineRule="auto"/>
              <w:jc w:val="left"/>
            </w:pPr>
            <w:r>
              <w:rPr>
                <w:rFonts w:ascii="Arial" w:hAnsi="Arial" w:eastAsia="Arial" w:cs="Arial"/>
                <w:b w:val="0"/>
                <w:sz w:val="20"/>
                <w:szCs w:val="20"/>
              </w:rPr>
              <w:t>MSOP-5103, MSRC-5104, MSPL-5105, MSRA-5206, MSPC-5207, MSCC-5208, MSTL-5209, MSIP-5210</w:t>
            </w:r>
          </w:p>
        </w:tc>
        <w:tc>
          <w:tcPr>
            <w:tcW w:w="5067" w:type="dxa"/>
            <w:vAlign w:val="top"/>
          </w:tcPr>
          <w:p>
            <w:pPr>
              <w:spacing w:before="40" w:after="40" w:line="240" w:lineRule="auto"/>
              <w:jc w:val="left"/>
            </w:pPr>
            <w:r>
              <w:rPr>
                <w:rFonts w:ascii="Arial" w:hAnsi="Arial" w:eastAsia="Arial" w:cs="Arial"/>
                <w:b w:val="0"/>
                <w:sz w:val="20"/>
                <w:szCs w:val="20"/>
              </w:rPr>
              <w:t>The individual integrated project and module assessment evidence listed above test the proposed capabilities. The separate needs analysis retains unresolved demand and consultation evidence.</w:t>
            </w:r>
          </w:p>
        </w:tc>
      </w:tr>
    </w:tbl>
    <w:p w14:paraId="730E0EBC" w14:textId="77777777" w:rsidR="00C65B51" w:rsidRPr="008B6C93" w:rsidRDefault="00000000">
      <w:pPr>
        <w:pStyle w:val="Heading1"/>
        <w:spacing w:before="0" w:after="120"/>
        <w:rPr>
          <w:rFonts w:ascii="Arial" w:hAnsi="Arial" w:eastAsia="Arial" w:cs="Arial"/>
          <w:sz w:val="20"/>
          <w:szCs w:val="20"/>
        </w:rPr>
      </w:pPr>
      <w:r w:rsidRPr="008B6C93">
        <w:rPr>
          <w:rFonts w:ascii="Arial" w:hAnsi="Arial" w:eastAsia="Arial" w:cs="Arial"/>
          <w:sz w:val="20"/>
          <w:szCs w:val="20"/>
        </w:rPr>
        <w:lastRenderedPageBreak/>
        <w:t>National and Sector Policy Alignment</w:t>
      </w:r>
    </w:p>
    <w:tbl>
      <w:tblPr>
        <w:tblStyle w:val="TableGrid"/>
        <w:tblW w:w="0" w:type="auto"/>
        <w:tblInd w:w="108" w:type="dxa"/>
        <w:tblLook w:val="04A0" w:firstRow="1" w:lastRow="0" w:firstColumn="1" w:lastColumn="0" w:noHBand="0" w:noVBand="1"/>
      </w:tblPr>
      <w:tblGrid>
        <w:gridCol w:w="2977"/>
        <w:gridCol w:w="4535"/>
        <w:gridCol w:w="1702"/>
        <w:gridCol w:w="5918"/>
      </w:tblGrid>
      <w:tr w:rsidR="00BA2940" w:rsidRPr="008B6C93" w14:paraId="67318C23" w14:textId="77777777" w:rsidTr="00BA2940">
        <w:trPr>
          <w:tblHeader/>
        </w:trPr>
        <w:tc>
          <w:tcPr>
            <w:tcW w:w="2977" w:type="dxa"/>
            <w:shd w:val="clear" w:color="auto" w:fill="D9D9D9" w:themeFill="background1" w:themeFillShade="D9"/>
            <w:vAlign w:val="top"/>
          </w:tcPr>
          <w:p w14:paraId="28A1F241" w14:textId="5CBFF134"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Policy or framework</w:t>
            </w:r>
          </w:p>
        </w:tc>
        <w:tc>
          <w:tcPr>
            <w:tcW w:w="4535" w:type="dxa"/>
            <w:shd w:val="clear" w:color="auto" w:fill="D9D9D9" w:themeFill="background1" w:themeFillShade="D9"/>
            <w:vAlign w:val="top"/>
          </w:tcPr>
          <w:p w14:paraId="67D77324" w14:textId="6A0E9874"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Relevant priority or theme</w:t>
            </w:r>
          </w:p>
        </w:tc>
        <w:tc>
          <w:tcPr>
            <w:tcW w:w="1702" w:type="dxa"/>
            <w:shd w:val="clear" w:color="auto" w:fill="D9D9D9" w:themeFill="background1" w:themeFillShade="D9"/>
            <w:vAlign w:val="top"/>
          </w:tcPr>
          <w:p w14:paraId="4F690983" w14:textId="4CFB8BCE"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Modules</w:t>
            </w:r>
          </w:p>
        </w:tc>
        <w:tc>
          <w:tcPr>
            <w:tcW w:w="5918" w:type="dxa"/>
            <w:shd w:val="clear" w:color="auto" w:fill="D9D9D9" w:themeFill="background1" w:themeFillShade="D9"/>
            <w:vAlign w:val="top"/>
          </w:tcPr>
          <w:p w14:paraId="0B9ED3D7" w14:textId="692F4CBA"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Curriculum response</w:t>
            </w:r>
          </w:p>
        </w:tc>
      </w:tr>
      <w:tr w:rsidR="00BA2940" w:rsidRPr="008B6C93" w14:paraId="601804E2" w14:textId="77777777" w:rsidTr="00BA2940">
        <w:trPr/>
        <w:tc>
          <w:tcPr>
            <w:tcW w:w="2977" w:type="dxa"/>
            <w:vAlign w:val="top"/>
          </w:tcPr>
          <w:p>
            <w:pPr>
              <w:spacing w:before="40" w:after="40" w:line="240" w:lineRule="auto"/>
              <w:jc w:val="left"/>
            </w:pPr>
            <w:r>
              <w:rPr>
                <w:rFonts w:ascii="Arial" w:hAnsi="Arial" w:eastAsia="Arial" w:cs="Arial"/>
                <w:b w:val="0"/>
                <w:sz w:val="20"/>
                <w:szCs w:val="20"/>
              </w:rPr>
              <w:t>Namibian National Qualifications Framework: GN 125 of 2006, regulation 5 and Annexures A and C</w:t>
            </w:r>
          </w:p>
        </w:tc>
        <w:tc>
          <w:tcPr>
            <w:tcW w:w="4535" w:type="dxa"/>
            <w:vAlign w:val="top"/>
          </w:tcPr>
          <w:p>
            <w:pPr>
              <w:spacing w:before="40" w:after="40" w:line="240" w:lineRule="auto"/>
              <w:jc w:val="left"/>
            </w:pPr>
            <w:r>
              <w:rPr>
                <w:rFonts w:ascii="Arial" w:hAnsi="Arial" w:eastAsia="Arial" w:cs="Arial"/>
                <w:b w:val="0"/>
                <w:sz w:val="20"/>
                <w:szCs w:val="20"/>
              </w:rPr>
              <w:t>Level descriptors, qualification specification and ten notional hours per credit</w:t>
            </w:r>
          </w:p>
        </w:tc>
        <w:tc>
          <w:tcPr>
            <w:tcW w:w="1702" w:type="dxa"/>
            <w:vAlign w:val="top"/>
          </w:tcPr>
          <w:p>
            <w:pPr>
              <w:spacing w:before="40" w:after="40" w:line="240" w:lineRule="auto"/>
              <w:jc w:val="left"/>
            </w:pPr>
            <w:r>
              <w:rPr>
                <w:rFonts w:ascii="Arial" w:hAnsi="Arial" w:eastAsia="Arial" w:cs="Arial"/>
                <w:b w:val="0"/>
                <w:sz w:val="20"/>
                <w:szCs w:val="20"/>
              </w:rPr>
              <w:t>All modules</w:t>
            </w:r>
          </w:p>
        </w:tc>
        <w:tc>
          <w:tcPr>
            <w:tcW w:w="5918" w:type="dxa"/>
            <w:vAlign w:val="top"/>
          </w:tcPr>
          <w:p>
            <w:pPr>
              <w:spacing w:before="40" w:after="40" w:line="240" w:lineRule="auto"/>
              <w:jc w:val="left"/>
            </w:pPr>
            <w:r>
              <w:rPr>
                <w:rFonts w:ascii="Arial" w:hAnsi="Arial" w:eastAsia="Arial" w:cs="Arial"/>
                <w:b w:val="0"/>
                <w:sz w:val="20"/>
                <w:szCs w:val="20"/>
              </w:rPr>
              <w:t>Level 5 outcomes, 120 credits, 1,200 notional hours and explicit assessment mapping. Registration and approval are not asserted.</w:t>
            </w:r>
          </w:p>
        </w:tc>
      </w:tr>
      <w:tr w:rsidR="00BA2940" w:rsidRPr="008B6C93" w14:paraId="601804E2" w14:textId="77777777" w:rsidTr="00BA2940">
        <w:trPr/>
        <w:tc>
          <w:tcPr>
            <w:tcW w:w="2977" w:type="dxa"/>
            <w:vAlign w:val="top"/>
          </w:tcPr>
          <w:p>
            <w:pPr>
              <w:spacing w:before="40" w:after="40" w:line="240" w:lineRule="auto"/>
              <w:jc w:val="left"/>
            </w:pPr>
            <w:r>
              <w:rPr>
                <w:rFonts w:ascii="Arial" w:hAnsi="Arial" w:eastAsia="Arial" w:cs="Arial"/>
                <w:b w:val="0"/>
                <w:sz w:val="20"/>
                <w:szCs w:val="20"/>
              </w:rPr>
              <w:t>UNESCO (2024). AI competency framework for students.</w:t>
            </w:r>
          </w:p>
        </w:tc>
        <w:tc>
          <w:tcPr>
            <w:tcW w:w="4535" w:type="dxa"/>
            <w:vAlign w:val="top"/>
          </w:tcPr>
          <w:p>
            <w:pPr>
              <w:spacing w:before="40" w:after="40" w:line="240" w:lineRule="auto"/>
              <w:jc w:val="left"/>
            </w:pPr>
            <w:r>
              <w:rPr>
                <w:rFonts w:ascii="Arial" w:hAnsi="Arial" w:eastAsia="Arial" w:cs="Arial"/>
                <w:b w:val="0"/>
                <w:sz w:val="20"/>
                <w:szCs w:val="20"/>
              </w:rPr>
              <w:t>Responsible AI use, critical evaluation and human oversight</w:t>
            </w:r>
          </w:p>
        </w:tc>
        <w:tc>
          <w:tcPr>
            <w:tcW w:w="1702" w:type="dxa"/>
            <w:vAlign w:val="top"/>
          </w:tcPr>
          <w:p>
            <w:pPr>
              <w:spacing w:before="40" w:after="40" w:line="240" w:lineRule="auto"/>
              <w:jc w:val="left"/>
            </w:pPr>
            <w:r>
              <w:rPr>
                <w:rFonts w:ascii="Arial" w:hAnsi="Arial" w:eastAsia="Arial" w:cs="Arial"/>
                <w:b w:val="0"/>
                <w:sz w:val="20"/>
                <w:szCs w:val="20"/>
              </w:rPr>
              <w:t>PISY-5102; ECAW-5101</w:t>
            </w:r>
          </w:p>
        </w:tc>
        <w:tc>
          <w:tcPr>
            <w:tcW w:w="5918" w:type="dxa"/>
            <w:vAlign w:val="top"/>
          </w:tcPr>
          <w:p>
            <w:pPr>
              <w:spacing w:before="40" w:after="40" w:line="240" w:lineRule="auto"/>
              <w:jc w:val="left"/>
            </w:pPr>
            <w:r>
              <w:rPr>
                <w:rFonts w:ascii="Arial" w:hAnsi="Arial" w:eastAsia="Arial" w:cs="Arial"/>
                <w:b w:val="0"/>
                <w:sz w:val="20"/>
                <w:szCs w:val="20"/>
              </w:rPr>
              <w:t>Verify AI-assisted outputs, disclose permitted assistance, protect data and retain individual evidence. The framework informs teaching rather than conferring regulatory approval.</w:t>
            </w:r>
          </w:p>
        </w:tc>
      </w:tr>
    </w:tbl>
    <w:sectPr w:rsidR="00C65B51" w:rsidRPr="008B6C93" w:rsidSect="00BA2940">
      <w:pgSz w:w="16838" w:h="11906" w:orient="landscape"/>
      <w:pgMar w:top="907" w:right="850" w:bottom="907" w:left="850"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C7AD1E" w14:textId="77777777" w:rsidR="00B31F24" w:rsidRDefault="00B31F24">
      <w:pPr>
        <w:spacing w:after="0" w:line="240" w:lineRule="auto"/>
      </w:pPr>
      <w:r>
        <w:rPr>
          <w:rFonts w:ascii="Arial" w:hAnsi="Arial" w:eastAsia="Arial" w:cs="Arial"/>
          <w:sz w:val="20"/>
          <w:szCs w:val="20"/>
        </w:rPr>
        <w:separator/>
      </w:r>
    </w:p>
  </w:endnote>
  <w:endnote w:type="continuationSeparator" w:id="0">
    <w:p w14:paraId="386D6CAD" w14:textId="77777777" w:rsidR="00B31F24" w:rsidRDefault="00B31F24">
      <w:pPr>
        <w:spacing w:after="0" w:line="240" w:lineRule="auto"/>
      </w:pPr>
      <w:r>
        <w:rPr>
          <w:rFonts w:ascii="Arial" w:hAnsi="Arial" w:eastAsia="Arial" w:cs="Arial"/>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5D52EE" w14:textId="77777777" w:rsidR="00C65B51" w:rsidRDefault="00000000">
    <w:pPr>
      <w:jc w:val="center"/>
    </w:pPr>
    <w:r>
      <w:rPr>
        <w:sz w:val="20"/>
        <w:rFonts w:ascii="Arial" w:hAnsi="Arial" w:eastAsia="Arial" w:cs="Arial"/>
        <w:szCs w:val="20"/>
      </w:rPr>
      <w:t>Oranjemund College | Qualification structure</w:t>
    </w:r>
  </w:p>
  <w:p w14:paraId="174331D4" w14:textId="77777777" w:rsidR="00C65B51" w:rsidRDefault="00000000">
    <w:pPr>
      <w:pStyle w:val="Footer"/>
      <w:jc w:val="center"/>
    </w:pPr>
    <w:r>
      <w:rPr>
        <w:rFonts w:ascii="Arial" w:hAnsi="Arial" w:eastAsia="Arial" w:cs="Arial"/>
        <w:sz w:val="20"/>
        <w:szCs w:val="20"/>
      </w:rPr>
    </w:r>
    <w:r>
      <w:rPr>
        <w:rFonts w:ascii="Arial" w:hAnsi="Arial" w:eastAsia="Arial" w:cs="Arial"/>
        <w:sz w:val="20"/>
        <w:szCs w:val="20"/>
      </w:rPr>
    </w:r>
    <w:r>
      <w:rPr>
        <w:rFonts w:ascii="Arial" w:hAnsi="Arial" w:eastAsia="Arial" w:cs="Arial"/>
        <w:sz w:val="20"/>
        <w:szCs w:val="20"/>
      </w:rPr>
    </w:r>
    <w:fldSimple w:instr="PAGE">
      <w:r w:rsidR="008F64FC">
        <w:rPr>
          <w:noProof/>
          <w:rFonts w:ascii="Arial" w:hAnsi="Arial" w:eastAsia="Arial" w:cs="Arial"/>
          <w:sz w:val="20"/>
          <w:szCs w:val="20"/>
        </w:rPr>
        <w:t>1</w:t>
      </w:r>
    </w:fldSimple>
    <w:r>
      <w:rPr>
        <w:rFonts w:ascii="Arial" w:hAnsi="Arial" w:eastAsia="Arial" w:cs="Arial"/>
        <w:sz w:val="20"/>
        <w:szCs w:val="20"/>
      </w:rP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A55A5D" w14:textId="77777777" w:rsidR="00B31F24" w:rsidRDefault="00B31F24">
      <w:pPr>
        <w:spacing w:after="0" w:line="240" w:lineRule="auto"/>
      </w:pPr>
      <w:r>
        <w:rPr>
          <w:rFonts w:ascii="Arial" w:hAnsi="Arial" w:eastAsia="Arial" w:cs="Arial"/>
          <w:sz w:val="20"/>
          <w:szCs w:val="20"/>
        </w:rPr>
        <w:separator/>
      </w:r>
    </w:p>
  </w:footnote>
  <w:footnote w:type="continuationSeparator" w:id="0">
    <w:p w14:paraId="7AD2630E" w14:textId="77777777" w:rsidR="00B31F24" w:rsidRDefault="00B31F24">
      <w:pPr>
        <w:spacing w:after="0" w:line="240" w:lineRule="auto"/>
      </w:pPr>
      <w:r>
        <w:rPr>
          <w:rFonts w:ascii="Arial" w:hAnsi="Arial" w:eastAsia="Arial" w:cs="Arial"/>
          <w:sz w:val="20"/>
          <w:szCs w:val="20"/>
        </w:rPr>
        <w:continuationSeparator/>
      </w:r>
    </w:p>
  </w:footnote>
  <w:footnote w:id="1">
    <w:p w14:paraId="6FC62178"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Indicates the broad classification of learning under the NQF, identifying the primary discipline area in which the qualification is placed.</w:t>
      </w:r>
    </w:p>
  </w:footnote>
  <w:footnote w:id="2">
    <w:p w14:paraId="3481F3F7"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Represents the unique institutional identifier assigned to the qualification for academic, administrative, and reporting purposes.</w:t>
      </w:r>
    </w:p>
  </w:footnote>
  <w:footnote w:id="3">
    <w:p w14:paraId="7879277D"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Specifies the qualification’s position within the Namibia Qualifications Framework and reflects the complexity, knowledge depth, and skills expected at that level.</w:t>
      </w:r>
    </w:p>
  </w:footnote>
  <w:footnote w:id="4">
    <w:p w14:paraId="5AECE1AA"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Refers to the full volume of credits allocated across all modules that make up the qualification, based on the NQF requirement that one credit equates to ten notional hours of learning.</w:t>
      </w:r>
    </w:p>
  </w:footnote>
  <w:footnote w:id="5">
    <w:p w14:paraId="4C9A2F51"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Indicates the minimum number of credits a learner must successfully attain to be awarded the qualification.</w:t>
      </w:r>
    </w:p>
  </w:footnote>
  <w:footnote w:id="6">
    <w:p w14:paraId="092FC64B" w14:textId="77777777" w:rsidR="00885E26" w:rsidRPr="005A3FFB" w:rsidRDefault="00885E26" w:rsidP="00885E26">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The qualification structure outlines the organised arrangement of all modules that make up the qualification, indicating their codes, titles, NQF levels, and associated credits. It specifies the compulsory components a learner must complete to attain the qualification and reflects the prescribed distribution of learning in line with NQF credit and level requirements.</w:t>
      </w:r>
    </w:p>
  </w:footnote>
  <w:footnote w:id="7">
    <w:p w14:paraId="0B9A5C3F" w14:textId="77777777" w:rsidR="0082754C" w:rsidRPr="005A3FFB" w:rsidRDefault="0082754C" w:rsidP="0082754C">
      <w:pPr>
        <w:pStyle w:val="FootnoteText"/>
        <w:spacing w:line="240" w:lineRule="auto"/>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This framework defines the structured allocation of learning hours per credit across contact teaching, directed learning, and independent study, ensuring consistency, transparency, and compliance with NQF credit guidelines.</w:t>
      </w:r>
    </w:p>
  </w:footnote>
  <w:footnote w:id="8">
    <w:p w14:paraId="257DDE72"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Indicates the stage of study within the qualification in which the module is delivered.</w:t>
      </w:r>
    </w:p>
  </w:footnote>
  <w:footnote w:id="9">
    <w:p w14:paraId="68CB9002"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Specifies the academic semester during which the module is offered.</w:t>
      </w:r>
    </w:p>
  </w:footnote>
  <w:footnote w:id="10">
    <w:p w14:paraId="64607956"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State the measurable abilities a learner must achieve upon completing the module, aligned with the NQF Level and expressed using active verbs.</w:t>
      </w:r>
    </w:p>
  </w:footnote>
  <w:footnote w:id="11">
    <w:p w14:paraId="641BC590"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 xml:space="preserve">Indicates the overarching field of learning under which the module is classified, as defined in the NQF Classification System. Namibia has 12 broad fields of learning. </w:t>
      </w:r>
    </w:p>
  </w:footnote>
  <w:footnote w:id="12">
    <w:p w14:paraId="1876FFAE"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Denotes the specific sub-category of learning within the broad field, ensuring accurate placement of the module in the NQF Classification System.</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Arial" w:hAnsi="Arial" w:eastAsia="Arial" w:cs="Arial"/>
        <w:sz w:val="20"/>
        <w:szCs w:val="20"/>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Arial" w:hAnsi="Arial" w:eastAsia="Arial" w:cs="Arial"/>
        <w:sz w:val="20"/>
        <w:szCs w:val="20"/>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Arial" w:hAnsi="Arial" w:eastAsia="Arial" w:cs="Arial"/>
        <w:sz w:val="20"/>
        <w:szCs w:val="20"/>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Arial" w:hAnsi="Arial" w:eastAsia="Arial" w:cs="Arial"/>
        <w:sz w:val="20"/>
        <w:szCs w:val="20"/>
      </w:rPr>
    </w:lvl>
  </w:abstractNum>
  <w:abstractNum w:abstractNumId="9" w15:restartNumberingAfterBreak="0">
    <w:nsid w:val="01652FE9"/>
    <w:multiLevelType w:val="hybridMultilevel"/>
    <w:tmpl w:val="87B80410"/>
    <w:lvl w:ilvl="0" w:tplc="08090001">
      <w:start w:val="1"/>
      <w:numFmt w:val="bullet"/>
      <w:lvlText w:val=""/>
      <w:lvlJc w:val="left"/>
      <w:pPr>
        <w:ind w:left="754" w:hanging="360"/>
      </w:pPr>
      <w:rPr>
        <w:rFonts w:ascii="Arial" w:hAnsi="Arial" w:eastAsia="Arial" w:cs="Arial"/>
        <w:sz w:val="20"/>
        <w:szCs w:val="20"/>
      </w:rPr>
    </w:lvl>
    <w:lvl w:ilvl="1" w:tplc="08090003" w:tentative="1">
      <w:start w:val="1"/>
      <w:numFmt w:val="bullet"/>
      <w:lvlText w:val="o"/>
      <w:lvlJc w:val="left"/>
      <w:pPr>
        <w:ind w:left="1474" w:hanging="360"/>
      </w:pPr>
      <w:rPr>
        <w:rFonts w:ascii="Arial" w:hAnsi="Arial" w:eastAsia="Arial" w:cs="Arial"/>
        <w:sz w:val="20"/>
        <w:szCs w:val="20"/>
      </w:rPr>
    </w:lvl>
    <w:lvl w:ilvl="2" w:tplc="08090005" w:tentative="1">
      <w:start w:val="1"/>
      <w:numFmt w:val="bullet"/>
      <w:lvlText w:val=""/>
      <w:lvlJc w:val="left"/>
      <w:pPr>
        <w:ind w:left="2194" w:hanging="360"/>
      </w:pPr>
      <w:rPr>
        <w:rFonts w:ascii="Arial" w:hAnsi="Arial" w:eastAsia="Arial" w:cs="Arial"/>
        <w:sz w:val="20"/>
        <w:szCs w:val="20"/>
      </w:rPr>
    </w:lvl>
    <w:lvl w:ilvl="3" w:tplc="08090001" w:tentative="1">
      <w:start w:val="1"/>
      <w:numFmt w:val="bullet"/>
      <w:lvlText w:val=""/>
      <w:lvlJc w:val="left"/>
      <w:pPr>
        <w:ind w:left="2914" w:hanging="360"/>
      </w:pPr>
      <w:rPr>
        <w:rFonts w:ascii="Arial" w:hAnsi="Arial" w:eastAsia="Arial" w:cs="Arial"/>
        <w:sz w:val="20"/>
        <w:szCs w:val="20"/>
      </w:rPr>
    </w:lvl>
    <w:lvl w:ilvl="4" w:tplc="08090003" w:tentative="1">
      <w:start w:val="1"/>
      <w:numFmt w:val="bullet"/>
      <w:lvlText w:val="o"/>
      <w:lvlJc w:val="left"/>
      <w:pPr>
        <w:ind w:left="3634" w:hanging="360"/>
      </w:pPr>
      <w:rPr>
        <w:rFonts w:ascii="Arial" w:hAnsi="Arial" w:eastAsia="Arial" w:cs="Arial"/>
        <w:sz w:val="20"/>
        <w:szCs w:val="20"/>
      </w:rPr>
    </w:lvl>
    <w:lvl w:ilvl="5" w:tplc="08090005" w:tentative="1">
      <w:start w:val="1"/>
      <w:numFmt w:val="bullet"/>
      <w:lvlText w:val=""/>
      <w:lvlJc w:val="left"/>
      <w:pPr>
        <w:ind w:left="4354" w:hanging="360"/>
      </w:pPr>
      <w:rPr>
        <w:rFonts w:ascii="Arial" w:hAnsi="Arial" w:eastAsia="Arial" w:cs="Arial"/>
        <w:sz w:val="20"/>
        <w:szCs w:val="20"/>
      </w:rPr>
    </w:lvl>
    <w:lvl w:ilvl="6" w:tplc="08090001" w:tentative="1">
      <w:start w:val="1"/>
      <w:numFmt w:val="bullet"/>
      <w:lvlText w:val=""/>
      <w:lvlJc w:val="left"/>
      <w:pPr>
        <w:ind w:left="5074" w:hanging="360"/>
      </w:pPr>
      <w:rPr>
        <w:rFonts w:ascii="Arial" w:hAnsi="Arial" w:eastAsia="Arial" w:cs="Arial"/>
        <w:sz w:val="20"/>
        <w:szCs w:val="20"/>
      </w:rPr>
    </w:lvl>
    <w:lvl w:ilvl="7" w:tplc="08090003" w:tentative="1">
      <w:start w:val="1"/>
      <w:numFmt w:val="bullet"/>
      <w:lvlText w:val="o"/>
      <w:lvlJc w:val="left"/>
      <w:pPr>
        <w:ind w:left="5794" w:hanging="360"/>
      </w:pPr>
      <w:rPr>
        <w:rFonts w:ascii="Arial" w:hAnsi="Arial" w:eastAsia="Arial" w:cs="Arial"/>
        <w:sz w:val="20"/>
        <w:szCs w:val="20"/>
      </w:rPr>
    </w:lvl>
    <w:lvl w:ilvl="8" w:tplc="08090005" w:tentative="1">
      <w:start w:val="1"/>
      <w:numFmt w:val="bullet"/>
      <w:lvlText w:val=""/>
      <w:lvlJc w:val="left"/>
      <w:pPr>
        <w:ind w:left="6514" w:hanging="360"/>
      </w:pPr>
      <w:rPr>
        <w:rFonts w:ascii="Arial" w:hAnsi="Arial" w:eastAsia="Arial" w:cs="Arial"/>
        <w:sz w:val="20"/>
        <w:szCs w:val="20"/>
      </w:rPr>
    </w:lvl>
  </w:abstractNum>
  <w:abstractNum w:abstractNumId="10" w15:restartNumberingAfterBreak="0">
    <w:nsid w:val="048F160C"/>
    <w:multiLevelType w:val="hybridMultilevel"/>
    <w:tmpl w:val="25220372"/>
    <w:lvl w:ilvl="0" w:tplc="3FDADC84">
      <w:start w:val="1"/>
      <w:numFmt w:val="decimal"/>
      <w:lvlText w:val="%1."/>
      <w:lvlJc w:val="left"/>
      <w:pPr>
        <w:ind w:left="57" w:firstLine="0"/>
      </w:pPr>
      <w:rPr>
        <w:rFonts w:ascii="Arial" w:hAnsi="Arial" w:eastAsia="Arial" w:cs="Arial"/>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96930CD"/>
    <w:multiLevelType w:val="multilevel"/>
    <w:tmpl w:val="379E2CDE"/>
    <w:lvl w:ilvl="0">
      <w:start w:val="1"/>
      <w:numFmt w:val="decimal"/>
      <w:lvlText w:val="%1."/>
      <w:lvlJc w:val="left"/>
      <w:pPr>
        <w:ind w:left="720" w:hanging="646"/>
      </w:pPr>
      <w:rPr>
        <w:rFonts w:ascii="Arial" w:hAnsi="Arial" w:eastAsia="Arial" w:cs="Arial"/>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E945C33"/>
    <w:multiLevelType w:val="multilevel"/>
    <w:tmpl w:val="281C173E"/>
    <w:lvl w:ilvl="0">
      <w:start w:val="1"/>
      <w:numFmt w:val="bullet"/>
      <w:lvlText w:val=""/>
      <w:lvlJc w:val="left"/>
      <w:pPr>
        <w:tabs>
          <w:tab w:val="num" w:pos="720"/>
        </w:tabs>
        <w:ind w:left="720" w:hanging="360"/>
      </w:pPr>
      <w:rPr>
        <w:rFonts w:ascii="Arial" w:hAnsi="Arial" w:eastAsia="Arial" w:cs="Arial"/>
        <w:sz w:val="20"/>
        <w:szCs w:val="20"/>
      </w:rPr>
    </w:lvl>
    <w:lvl w:ilvl="1" w:tentative="1">
      <w:start w:val="1"/>
      <w:numFmt w:val="bullet"/>
      <w:lvlText w:val="o"/>
      <w:lvlJc w:val="left"/>
      <w:pPr>
        <w:tabs>
          <w:tab w:val="num" w:pos="1440"/>
        </w:tabs>
        <w:ind w:left="1440" w:hanging="360"/>
      </w:pPr>
      <w:rPr>
        <w:rFonts w:ascii="Arial" w:hAnsi="Arial" w:eastAsia="Arial" w:cs="Arial"/>
        <w:sz w:val="20"/>
        <w:szCs w:val="20"/>
      </w:rPr>
    </w:lvl>
    <w:lvl w:ilvl="2" w:tentative="1">
      <w:start w:val="1"/>
      <w:numFmt w:val="bullet"/>
      <w:lvlText w:val=""/>
      <w:lvlJc w:val="left"/>
      <w:pPr>
        <w:tabs>
          <w:tab w:val="num" w:pos="2160"/>
        </w:tabs>
        <w:ind w:left="2160" w:hanging="360"/>
      </w:pPr>
      <w:rPr>
        <w:rFonts w:ascii="Arial" w:hAnsi="Arial" w:eastAsia="Arial" w:cs="Arial"/>
        <w:sz w:val="20"/>
        <w:szCs w:val="20"/>
      </w:rPr>
    </w:lvl>
    <w:lvl w:ilvl="3" w:tentative="1">
      <w:start w:val="1"/>
      <w:numFmt w:val="bullet"/>
      <w:lvlText w:val=""/>
      <w:lvlJc w:val="left"/>
      <w:pPr>
        <w:tabs>
          <w:tab w:val="num" w:pos="2880"/>
        </w:tabs>
        <w:ind w:left="2880" w:hanging="360"/>
      </w:pPr>
      <w:rPr>
        <w:rFonts w:ascii="Arial" w:hAnsi="Arial" w:eastAsia="Arial" w:cs="Arial"/>
        <w:sz w:val="20"/>
        <w:szCs w:val="20"/>
      </w:rPr>
    </w:lvl>
    <w:lvl w:ilvl="4" w:tentative="1">
      <w:start w:val="1"/>
      <w:numFmt w:val="bullet"/>
      <w:lvlText w:val=""/>
      <w:lvlJc w:val="left"/>
      <w:pPr>
        <w:tabs>
          <w:tab w:val="num" w:pos="3600"/>
        </w:tabs>
        <w:ind w:left="3600" w:hanging="360"/>
      </w:pPr>
      <w:rPr>
        <w:rFonts w:ascii="Arial" w:hAnsi="Arial" w:eastAsia="Arial" w:cs="Arial"/>
        <w:sz w:val="20"/>
        <w:szCs w:val="20"/>
      </w:rPr>
    </w:lvl>
    <w:lvl w:ilvl="5" w:tentative="1">
      <w:start w:val="1"/>
      <w:numFmt w:val="bullet"/>
      <w:lvlText w:val=""/>
      <w:lvlJc w:val="left"/>
      <w:pPr>
        <w:tabs>
          <w:tab w:val="num" w:pos="4320"/>
        </w:tabs>
        <w:ind w:left="4320" w:hanging="360"/>
      </w:pPr>
      <w:rPr>
        <w:rFonts w:ascii="Arial" w:hAnsi="Arial" w:eastAsia="Arial" w:cs="Arial"/>
        <w:sz w:val="20"/>
        <w:szCs w:val="20"/>
      </w:rPr>
    </w:lvl>
    <w:lvl w:ilvl="6" w:tentative="1">
      <w:start w:val="1"/>
      <w:numFmt w:val="bullet"/>
      <w:lvlText w:val=""/>
      <w:lvlJc w:val="left"/>
      <w:pPr>
        <w:tabs>
          <w:tab w:val="num" w:pos="5040"/>
        </w:tabs>
        <w:ind w:left="5040" w:hanging="360"/>
      </w:pPr>
      <w:rPr>
        <w:rFonts w:ascii="Arial" w:hAnsi="Arial" w:eastAsia="Arial" w:cs="Arial"/>
        <w:sz w:val="20"/>
        <w:szCs w:val="20"/>
      </w:rPr>
    </w:lvl>
    <w:lvl w:ilvl="7" w:tentative="1">
      <w:start w:val="1"/>
      <w:numFmt w:val="bullet"/>
      <w:lvlText w:val=""/>
      <w:lvlJc w:val="left"/>
      <w:pPr>
        <w:tabs>
          <w:tab w:val="num" w:pos="5760"/>
        </w:tabs>
        <w:ind w:left="5760" w:hanging="360"/>
      </w:pPr>
      <w:rPr>
        <w:rFonts w:ascii="Arial" w:hAnsi="Arial" w:eastAsia="Arial" w:cs="Arial"/>
        <w:sz w:val="20"/>
        <w:szCs w:val="20"/>
      </w:rPr>
    </w:lvl>
    <w:lvl w:ilvl="8" w:tentative="1">
      <w:start w:val="1"/>
      <w:numFmt w:val="bullet"/>
      <w:lvlText w:val=""/>
      <w:lvlJc w:val="left"/>
      <w:pPr>
        <w:tabs>
          <w:tab w:val="num" w:pos="6480"/>
        </w:tabs>
        <w:ind w:left="6480" w:hanging="360"/>
      </w:pPr>
      <w:rPr>
        <w:rFonts w:ascii="Arial" w:hAnsi="Arial" w:eastAsia="Arial" w:cs="Arial"/>
        <w:sz w:val="20"/>
        <w:szCs w:val="20"/>
      </w:rPr>
    </w:lvl>
  </w:abstractNum>
  <w:abstractNum w:abstractNumId="13" w15:restartNumberingAfterBreak="0">
    <w:nsid w:val="280F06E9"/>
    <w:multiLevelType w:val="multilevel"/>
    <w:tmpl w:val="281C173E"/>
    <w:lvl w:ilvl="0">
      <w:start w:val="1"/>
      <w:numFmt w:val="bullet"/>
      <w:lvlText w:val=""/>
      <w:lvlJc w:val="left"/>
      <w:pPr>
        <w:tabs>
          <w:tab w:val="num" w:pos="720"/>
        </w:tabs>
        <w:ind w:left="720" w:hanging="360"/>
      </w:pPr>
      <w:rPr>
        <w:rFonts w:ascii="Arial" w:hAnsi="Arial" w:eastAsia="Arial" w:cs="Arial"/>
        <w:sz w:val="20"/>
        <w:szCs w:val="20"/>
      </w:rPr>
    </w:lvl>
    <w:lvl w:ilvl="1" w:tentative="1">
      <w:start w:val="1"/>
      <w:numFmt w:val="bullet"/>
      <w:lvlText w:val="o"/>
      <w:lvlJc w:val="left"/>
      <w:pPr>
        <w:tabs>
          <w:tab w:val="num" w:pos="1440"/>
        </w:tabs>
        <w:ind w:left="1440" w:hanging="360"/>
      </w:pPr>
      <w:rPr>
        <w:rFonts w:ascii="Arial" w:hAnsi="Arial" w:eastAsia="Arial" w:cs="Arial"/>
        <w:sz w:val="20"/>
        <w:szCs w:val="20"/>
      </w:rPr>
    </w:lvl>
    <w:lvl w:ilvl="2" w:tentative="1">
      <w:start w:val="1"/>
      <w:numFmt w:val="bullet"/>
      <w:lvlText w:val=""/>
      <w:lvlJc w:val="left"/>
      <w:pPr>
        <w:tabs>
          <w:tab w:val="num" w:pos="2160"/>
        </w:tabs>
        <w:ind w:left="2160" w:hanging="360"/>
      </w:pPr>
      <w:rPr>
        <w:rFonts w:ascii="Arial" w:hAnsi="Arial" w:eastAsia="Arial" w:cs="Arial"/>
        <w:sz w:val="20"/>
        <w:szCs w:val="20"/>
      </w:rPr>
    </w:lvl>
    <w:lvl w:ilvl="3" w:tentative="1">
      <w:start w:val="1"/>
      <w:numFmt w:val="bullet"/>
      <w:lvlText w:val=""/>
      <w:lvlJc w:val="left"/>
      <w:pPr>
        <w:tabs>
          <w:tab w:val="num" w:pos="2880"/>
        </w:tabs>
        <w:ind w:left="2880" w:hanging="360"/>
      </w:pPr>
      <w:rPr>
        <w:rFonts w:ascii="Arial" w:hAnsi="Arial" w:eastAsia="Arial" w:cs="Arial"/>
        <w:sz w:val="20"/>
        <w:szCs w:val="20"/>
      </w:rPr>
    </w:lvl>
    <w:lvl w:ilvl="4" w:tentative="1">
      <w:start w:val="1"/>
      <w:numFmt w:val="bullet"/>
      <w:lvlText w:val=""/>
      <w:lvlJc w:val="left"/>
      <w:pPr>
        <w:tabs>
          <w:tab w:val="num" w:pos="3600"/>
        </w:tabs>
        <w:ind w:left="3600" w:hanging="360"/>
      </w:pPr>
      <w:rPr>
        <w:rFonts w:ascii="Arial" w:hAnsi="Arial" w:eastAsia="Arial" w:cs="Arial"/>
        <w:sz w:val="20"/>
        <w:szCs w:val="20"/>
      </w:rPr>
    </w:lvl>
    <w:lvl w:ilvl="5" w:tentative="1">
      <w:start w:val="1"/>
      <w:numFmt w:val="bullet"/>
      <w:lvlText w:val=""/>
      <w:lvlJc w:val="left"/>
      <w:pPr>
        <w:tabs>
          <w:tab w:val="num" w:pos="4320"/>
        </w:tabs>
        <w:ind w:left="4320" w:hanging="360"/>
      </w:pPr>
      <w:rPr>
        <w:rFonts w:ascii="Arial" w:hAnsi="Arial" w:eastAsia="Arial" w:cs="Arial"/>
        <w:sz w:val="20"/>
        <w:szCs w:val="20"/>
      </w:rPr>
    </w:lvl>
    <w:lvl w:ilvl="6" w:tentative="1">
      <w:start w:val="1"/>
      <w:numFmt w:val="bullet"/>
      <w:lvlText w:val=""/>
      <w:lvlJc w:val="left"/>
      <w:pPr>
        <w:tabs>
          <w:tab w:val="num" w:pos="5040"/>
        </w:tabs>
        <w:ind w:left="5040" w:hanging="360"/>
      </w:pPr>
      <w:rPr>
        <w:rFonts w:ascii="Arial" w:hAnsi="Arial" w:eastAsia="Arial" w:cs="Arial"/>
        <w:sz w:val="20"/>
        <w:szCs w:val="20"/>
      </w:rPr>
    </w:lvl>
    <w:lvl w:ilvl="7" w:tentative="1">
      <w:start w:val="1"/>
      <w:numFmt w:val="bullet"/>
      <w:lvlText w:val=""/>
      <w:lvlJc w:val="left"/>
      <w:pPr>
        <w:tabs>
          <w:tab w:val="num" w:pos="5760"/>
        </w:tabs>
        <w:ind w:left="5760" w:hanging="360"/>
      </w:pPr>
      <w:rPr>
        <w:rFonts w:ascii="Arial" w:hAnsi="Arial" w:eastAsia="Arial" w:cs="Arial"/>
        <w:sz w:val="20"/>
        <w:szCs w:val="20"/>
      </w:rPr>
    </w:lvl>
    <w:lvl w:ilvl="8" w:tentative="1">
      <w:start w:val="1"/>
      <w:numFmt w:val="bullet"/>
      <w:lvlText w:val=""/>
      <w:lvlJc w:val="left"/>
      <w:pPr>
        <w:tabs>
          <w:tab w:val="num" w:pos="6480"/>
        </w:tabs>
        <w:ind w:left="6480" w:hanging="360"/>
      </w:pPr>
      <w:rPr>
        <w:rFonts w:ascii="Arial" w:hAnsi="Arial" w:eastAsia="Arial" w:cs="Arial"/>
        <w:sz w:val="20"/>
        <w:szCs w:val="20"/>
      </w:rPr>
    </w:lvl>
  </w:abstractNum>
  <w:abstractNum w:abstractNumId="14" w15:restartNumberingAfterBreak="0">
    <w:nsid w:val="356A6F86"/>
    <w:multiLevelType w:val="hybridMultilevel"/>
    <w:tmpl w:val="E71E10CC"/>
    <w:lvl w:ilvl="0" w:tplc="FC7E37D8">
      <w:start w:val="1"/>
      <w:numFmt w:val="decimal"/>
      <w:lvlText w:val="%1."/>
      <w:lvlJc w:val="left"/>
      <w:pPr>
        <w:ind w:left="153" w:hanging="79"/>
      </w:pPr>
      <w:rPr>
        <w:rFonts w:ascii="Arial" w:hAnsi="Arial" w:eastAsia="Arial" w:cs="Arial"/>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5B7872"/>
    <w:multiLevelType w:val="hybridMultilevel"/>
    <w:tmpl w:val="E07A5780"/>
    <w:lvl w:ilvl="0" w:tplc="08090001">
      <w:start w:val="1"/>
      <w:numFmt w:val="bullet"/>
      <w:lvlText w:val=""/>
      <w:lvlJc w:val="left"/>
      <w:pPr>
        <w:ind w:left="720" w:hanging="360"/>
      </w:pPr>
      <w:rPr>
        <w:rFonts w:ascii="Arial" w:hAnsi="Arial" w:eastAsia="Arial" w:cs="Arial"/>
        <w:sz w:val="20"/>
        <w:szCs w:val="20"/>
      </w:rPr>
    </w:lvl>
    <w:lvl w:ilvl="1" w:tplc="08090003" w:tentative="1">
      <w:start w:val="1"/>
      <w:numFmt w:val="bullet"/>
      <w:lvlText w:val="o"/>
      <w:lvlJc w:val="left"/>
      <w:pPr>
        <w:ind w:left="1440" w:hanging="360"/>
      </w:pPr>
      <w:rPr>
        <w:rFonts w:ascii="Arial" w:hAnsi="Arial" w:eastAsia="Arial" w:cs="Arial"/>
        <w:sz w:val="20"/>
        <w:szCs w:val="20"/>
      </w:rPr>
    </w:lvl>
    <w:lvl w:ilvl="2" w:tplc="08090005" w:tentative="1">
      <w:start w:val="1"/>
      <w:numFmt w:val="bullet"/>
      <w:lvlText w:val=""/>
      <w:lvlJc w:val="left"/>
      <w:pPr>
        <w:ind w:left="2160" w:hanging="360"/>
      </w:pPr>
      <w:rPr>
        <w:rFonts w:ascii="Arial" w:hAnsi="Arial" w:eastAsia="Arial" w:cs="Arial"/>
        <w:sz w:val="20"/>
        <w:szCs w:val="20"/>
      </w:rPr>
    </w:lvl>
    <w:lvl w:ilvl="3" w:tplc="08090001" w:tentative="1">
      <w:start w:val="1"/>
      <w:numFmt w:val="bullet"/>
      <w:lvlText w:val=""/>
      <w:lvlJc w:val="left"/>
      <w:pPr>
        <w:ind w:left="2880" w:hanging="360"/>
      </w:pPr>
      <w:rPr>
        <w:rFonts w:ascii="Arial" w:hAnsi="Arial" w:eastAsia="Arial" w:cs="Arial"/>
        <w:sz w:val="20"/>
        <w:szCs w:val="20"/>
      </w:rPr>
    </w:lvl>
    <w:lvl w:ilvl="4" w:tplc="08090003" w:tentative="1">
      <w:start w:val="1"/>
      <w:numFmt w:val="bullet"/>
      <w:lvlText w:val="o"/>
      <w:lvlJc w:val="left"/>
      <w:pPr>
        <w:ind w:left="3600" w:hanging="360"/>
      </w:pPr>
      <w:rPr>
        <w:rFonts w:ascii="Arial" w:hAnsi="Arial" w:eastAsia="Arial" w:cs="Arial"/>
        <w:sz w:val="20"/>
        <w:szCs w:val="20"/>
      </w:rPr>
    </w:lvl>
    <w:lvl w:ilvl="5" w:tplc="08090005" w:tentative="1">
      <w:start w:val="1"/>
      <w:numFmt w:val="bullet"/>
      <w:lvlText w:val=""/>
      <w:lvlJc w:val="left"/>
      <w:pPr>
        <w:ind w:left="4320" w:hanging="360"/>
      </w:pPr>
      <w:rPr>
        <w:rFonts w:ascii="Arial" w:hAnsi="Arial" w:eastAsia="Arial" w:cs="Arial"/>
        <w:sz w:val="20"/>
        <w:szCs w:val="20"/>
      </w:rPr>
    </w:lvl>
    <w:lvl w:ilvl="6" w:tplc="08090001" w:tentative="1">
      <w:start w:val="1"/>
      <w:numFmt w:val="bullet"/>
      <w:lvlText w:val=""/>
      <w:lvlJc w:val="left"/>
      <w:pPr>
        <w:ind w:left="5040" w:hanging="360"/>
      </w:pPr>
      <w:rPr>
        <w:rFonts w:ascii="Arial" w:hAnsi="Arial" w:eastAsia="Arial" w:cs="Arial"/>
        <w:sz w:val="20"/>
        <w:szCs w:val="20"/>
      </w:rPr>
    </w:lvl>
    <w:lvl w:ilvl="7" w:tplc="08090003" w:tentative="1">
      <w:start w:val="1"/>
      <w:numFmt w:val="bullet"/>
      <w:lvlText w:val="o"/>
      <w:lvlJc w:val="left"/>
      <w:pPr>
        <w:ind w:left="5760" w:hanging="360"/>
      </w:pPr>
      <w:rPr>
        <w:rFonts w:ascii="Arial" w:hAnsi="Arial" w:eastAsia="Arial" w:cs="Arial"/>
        <w:sz w:val="20"/>
        <w:szCs w:val="20"/>
      </w:rPr>
    </w:lvl>
    <w:lvl w:ilvl="8" w:tplc="08090005" w:tentative="1">
      <w:start w:val="1"/>
      <w:numFmt w:val="bullet"/>
      <w:lvlText w:val=""/>
      <w:lvlJc w:val="left"/>
      <w:pPr>
        <w:ind w:left="6480" w:hanging="360"/>
      </w:pPr>
      <w:rPr>
        <w:rFonts w:ascii="Arial" w:hAnsi="Arial" w:eastAsia="Arial" w:cs="Arial"/>
        <w:sz w:val="20"/>
        <w:szCs w:val="20"/>
      </w:rPr>
    </w:lvl>
  </w:abstractNum>
  <w:abstractNum w:abstractNumId="16" w15:restartNumberingAfterBreak="0">
    <w:nsid w:val="3B921EBB"/>
    <w:multiLevelType w:val="hybridMultilevel"/>
    <w:tmpl w:val="328C9506"/>
    <w:lvl w:ilvl="0" w:tplc="08090001">
      <w:start w:val="1"/>
      <w:numFmt w:val="bullet"/>
      <w:lvlText w:val=""/>
      <w:lvlJc w:val="left"/>
      <w:pPr>
        <w:ind w:left="720" w:hanging="360"/>
      </w:pPr>
      <w:rPr>
        <w:rFonts w:ascii="Arial" w:hAnsi="Arial" w:eastAsia="Arial" w:cs="Arial"/>
        <w:sz w:val="20"/>
        <w:szCs w:val="20"/>
      </w:rPr>
    </w:lvl>
    <w:lvl w:ilvl="1" w:tplc="08090003" w:tentative="1">
      <w:start w:val="1"/>
      <w:numFmt w:val="bullet"/>
      <w:lvlText w:val="o"/>
      <w:lvlJc w:val="left"/>
      <w:pPr>
        <w:ind w:left="1440" w:hanging="360"/>
      </w:pPr>
      <w:rPr>
        <w:rFonts w:ascii="Arial" w:hAnsi="Arial" w:eastAsia="Arial" w:cs="Arial"/>
        <w:sz w:val="20"/>
        <w:szCs w:val="20"/>
      </w:rPr>
    </w:lvl>
    <w:lvl w:ilvl="2" w:tplc="08090005" w:tentative="1">
      <w:start w:val="1"/>
      <w:numFmt w:val="bullet"/>
      <w:lvlText w:val=""/>
      <w:lvlJc w:val="left"/>
      <w:pPr>
        <w:ind w:left="2160" w:hanging="360"/>
      </w:pPr>
      <w:rPr>
        <w:rFonts w:ascii="Arial" w:hAnsi="Arial" w:eastAsia="Arial" w:cs="Arial"/>
        <w:sz w:val="20"/>
        <w:szCs w:val="20"/>
      </w:rPr>
    </w:lvl>
    <w:lvl w:ilvl="3" w:tplc="08090001" w:tentative="1">
      <w:start w:val="1"/>
      <w:numFmt w:val="bullet"/>
      <w:lvlText w:val=""/>
      <w:lvlJc w:val="left"/>
      <w:pPr>
        <w:ind w:left="2880" w:hanging="360"/>
      </w:pPr>
      <w:rPr>
        <w:rFonts w:ascii="Arial" w:hAnsi="Arial" w:eastAsia="Arial" w:cs="Arial"/>
        <w:sz w:val="20"/>
        <w:szCs w:val="20"/>
      </w:rPr>
    </w:lvl>
    <w:lvl w:ilvl="4" w:tplc="08090003" w:tentative="1">
      <w:start w:val="1"/>
      <w:numFmt w:val="bullet"/>
      <w:lvlText w:val="o"/>
      <w:lvlJc w:val="left"/>
      <w:pPr>
        <w:ind w:left="3600" w:hanging="360"/>
      </w:pPr>
      <w:rPr>
        <w:rFonts w:ascii="Arial" w:hAnsi="Arial" w:eastAsia="Arial" w:cs="Arial"/>
        <w:sz w:val="20"/>
        <w:szCs w:val="20"/>
      </w:rPr>
    </w:lvl>
    <w:lvl w:ilvl="5" w:tplc="08090005" w:tentative="1">
      <w:start w:val="1"/>
      <w:numFmt w:val="bullet"/>
      <w:lvlText w:val=""/>
      <w:lvlJc w:val="left"/>
      <w:pPr>
        <w:ind w:left="4320" w:hanging="360"/>
      </w:pPr>
      <w:rPr>
        <w:rFonts w:ascii="Arial" w:hAnsi="Arial" w:eastAsia="Arial" w:cs="Arial"/>
        <w:sz w:val="20"/>
        <w:szCs w:val="20"/>
      </w:rPr>
    </w:lvl>
    <w:lvl w:ilvl="6" w:tplc="08090001" w:tentative="1">
      <w:start w:val="1"/>
      <w:numFmt w:val="bullet"/>
      <w:lvlText w:val=""/>
      <w:lvlJc w:val="left"/>
      <w:pPr>
        <w:ind w:left="5040" w:hanging="360"/>
      </w:pPr>
      <w:rPr>
        <w:rFonts w:ascii="Arial" w:hAnsi="Arial" w:eastAsia="Arial" w:cs="Arial"/>
        <w:sz w:val="20"/>
        <w:szCs w:val="20"/>
      </w:rPr>
    </w:lvl>
    <w:lvl w:ilvl="7" w:tplc="08090003" w:tentative="1">
      <w:start w:val="1"/>
      <w:numFmt w:val="bullet"/>
      <w:lvlText w:val="o"/>
      <w:lvlJc w:val="left"/>
      <w:pPr>
        <w:ind w:left="5760" w:hanging="360"/>
      </w:pPr>
      <w:rPr>
        <w:rFonts w:ascii="Arial" w:hAnsi="Arial" w:eastAsia="Arial" w:cs="Arial"/>
        <w:sz w:val="20"/>
        <w:szCs w:val="20"/>
      </w:rPr>
    </w:lvl>
    <w:lvl w:ilvl="8" w:tplc="08090005" w:tentative="1">
      <w:start w:val="1"/>
      <w:numFmt w:val="bullet"/>
      <w:lvlText w:val=""/>
      <w:lvlJc w:val="left"/>
      <w:pPr>
        <w:ind w:left="6480" w:hanging="360"/>
      </w:pPr>
      <w:rPr>
        <w:rFonts w:ascii="Arial" w:hAnsi="Arial" w:eastAsia="Arial" w:cs="Arial"/>
        <w:sz w:val="20"/>
        <w:szCs w:val="20"/>
      </w:rPr>
    </w:lvl>
  </w:abstractNum>
  <w:abstractNum w:abstractNumId="17" w15:restartNumberingAfterBreak="0">
    <w:nsid w:val="4E7637AC"/>
    <w:multiLevelType w:val="multilevel"/>
    <w:tmpl w:val="379E2CDE"/>
    <w:lvl w:ilvl="0">
      <w:start w:val="1"/>
      <w:numFmt w:val="decimal"/>
      <w:lvlText w:val="%1."/>
      <w:lvlJc w:val="left"/>
      <w:pPr>
        <w:ind w:left="720" w:hanging="646"/>
      </w:pPr>
      <w:rPr>
        <w:rFonts w:ascii="Arial" w:hAnsi="Arial" w:eastAsia="Arial" w:cs="Arial"/>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4BA3E23"/>
    <w:multiLevelType w:val="hybridMultilevel"/>
    <w:tmpl w:val="2228CEB6"/>
    <w:lvl w:ilvl="0" w:tplc="08090001">
      <w:start w:val="1"/>
      <w:numFmt w:val="bullet"/>
      <w:lvlText w:val=""/>
      <w:lvlJc w:val="left"/>
      <w:pPr>
        <w:ind w:left="720" w:hanging="360"/>
      </w:pPr>
      <w:rPr>
        <w:rFonts w:ascii="Arial" w:hAnsi="Arial" w:eastAsia="Arial" w:cs="Arial"/>
        <w:sz w:val="20"/>
        <w:szCs w:val="20"/>
      </w:rPr>
    </w:lvl>
    <w:lvl w:ilvl="1" w:tplc="08090003" w:tentative="1">
      <w:start w:val="1"/>
      <w:numFmt w:val="bullet"/>
      <w:lvlText w:val="o"/>
      <w:lvlJc w:val="left"/>
      <w:pPr>
        <w:ind w:left="1440" w:hanging="360"/>
      </w:pPr>
      <w:rPr>
        <w:rFonts w:ascii="Arial" w:hAnsi="Arial" w:eastAsia="Arial" w:cs="Arial"/>
        <w:sz w:val="20"/>
        <w:szCs w:val="20"/>
      </w:rPr>
    </w:lvl>
    <w:lvl w:ilvl="2" w:tplc="08090005" w:tentative="1">
      <w:start w:val="1"/>
      <w:numFmt w:val="bullet"/>
      <w:lvlText w:val=""/>
      <w:lvlJc w:val="left"/>
      <w:pPr>
        <w:ind w:left="2160" w:hanging="360"/>
      </w:pPr>
      <w:rPr>
        <w:rFonts w:ascii="Arial" w:hAnsi="Arial" w:eastAsia="Arial" w:cs="Arial"/>
        <w:sz w:val="20"/>
        <w:szCs w:val="20"/>
      </w:rPr>
    </w:lvl>
    <w:lvl w:ilvl="3" w:tplc="08090001" w:tentative="1">
      <w:start w:val="1"/>
      <w:numFmt w:val="bullet"/>
      <w:lvlText w:val=""/>
      <w:lvlJc w:val="left"/>
      <w:pPr>
        <w:ind w:left="2880" w:hanging="360"/>
      </w:pPr>
      <w:rPr>
        <w:rFonts w:ascii="Arial" w:hAnsi="Arial" w:eastAsia="Arial" w:cs="Arial"/>
        <w:sz w:val="20"/>
        <w:szCs w:val="20"/>
      </w:rPr>
    </w:lvl>
    <w:lvl w:ilvl="4" w:tplc="08090003" w:tentative="1">
      <w:start w:val="1"/>
      <w:numFmt w:val="bullet"/>
      <w:lvlText w:val="o"/>
      <w:lvlJc w:val="left"/>
      <w:pPr>
        <w:ind w:left="3600" w:hanging="360"/>
      </w:pPr>
      <w:rPr>
        <w:rFonts w:ascii="Arial" w:hAnsi="Arial" w:eastAsia="Arial" w:cs="Arial"/>
        <w:sz w:val="20"/>
        <w:szCs w:val="20"/>
      </w:rPr>
    </w:lvl>
    <w:lvl w:ilvl="5" w:tplc="08090005" w:tentative="1">
      <w:start w:val="1"/>
      <w:numFmt w:val="bullet"/>
      <w:lvlText w:val=""/>
      <w:lvlJc w:val="left"/>
      <w:pPr>
        <w:ind w:left="4320" w:hanging="360"/>
      </w:pPr>
      <w:rPr>
        <w:rFonts w:ascii="Arial" w:hAnsi="Arial" w:eastAsia="Arial" w:cs="Arial"/>
        <w:sz w:val="20"/>
        <w:szCs w:val="20"/>
      </w:rPr>
    </w:lvl>
    <w:lvl w:ilvl="6" w:tplc="08090001" w:tentative="1">
      <w:start w:val="1"/>
      <w:numFmt w:val="bullet"/>
      <w:lvlText w:val=""/>
      <w:lvlJc w:val="left"/>
      <w:pPr>
        <w:ind w:left="5040" w:hanging="360"/>
      </w:pPr>
      <w:rPr>
        <w:rFonts w:ascii="Arial" w:hAnsi="Arial" w:eastAsia="Arial" w:cs="Arial"/>
        <w:sz w:val="20"/>
        <w:szCs w:val="20"/>
      </w:rPr>
    </w:lvl>
    <w:lvl w:ilvl="7" w:tplc="08090003" w:tentative="1">
      <w:start w:val="1"/>
      <w:numFmt w:val="bullet"/>
      <w:lvlText w:val="o"/>
      <w:lvlJc w:val="left"/>
      <w:pPr>
        <w:ind w:left="5760" w:hanging="360"/>
      </w:pPr>
      <w:rPr>
        <w:rFonts w:ascii="Arial" w:hAnsi="Arial" w:eastAsia="Arial" w:cs="Arial"/>
        <w:sz w:val="20"/>
        <w:szCs w:val="20"/>
      </w:rPr>
    </w:lvl>
    <w:lvl w:ilvl="8" w:tplc="08090005" w:tentative="1">
      <w:start w:val="1"/>
      <w:numFmt w:val="bullet"/>
      <w:lvlText w:val=""/>
      <w:lvlJc w:val="left"/>
      <w:pPr>
        <w:ind w:left="6480" w:hanging="360"/>
      </w:pPr>
      <w:rPr>
        <w:rFonts w:ascii="Arial" w:hAnsi="Arial" w:eastAsia="Arial" w:cs="Arial"/>
        <w:sz w:val="20"/>
        <w:szCs w:val="20"/>
      </w:rPr>
    </w:lvl>
  </w:abstractNum>
  <w:abstractNum w:abstractNumId="19" w15:restartNumberingAfterBreak="0">
    <w:nsid w:val="5C5B4C04"/>
    <w:multiLevelType w:val="hybridMultilevel"/>
    <w:tmpl w:val="F396605E"/>
    <w:lvl w:ilvl="0" w:tplc="08090001">
      <w:start w:val="1"/>
      <w:numFmt w:val="bullet"/>
      <w:lvlText w:val=""/>
      <w:lvlJc w:val="left"/>
      <w:pPr>
        <w:ind w:left="720" w:hanging="360"/>
      </w:pPr>
      <w:rPr>
        <w:rFonts w:ascii="Arial" w:hAnsi="Arial" w:eastAsia="Arial" w:cs="Arial"/>
        <w:sz w:val="20"/>
        <w:szCs w:val="20"/>
      </w:rPr>
    </w:lvl>
    <w:lvl w:ilvl="1" w:tplc="08090003" w:tentative="1">
      <w:start w:val="1"/>
      <w:numFmt w:val="bullet"/>
      <w:lvlText w:val="o"/>
      <w:lvlJc w:val="left"/>
      <w:pPr>
        <w:ind w:left="1440" w:hanging="360"/>
      </w:pPr>
      <w:rPr>
        <w:rFonts w:ascii="Arial" w:hAnsi="Arial" w:eastAsia="Arial" w:cs="Arial"/>
        <w:sz w:val="20"/>
        <w:szCs w:val="20"/>
      </w:rPr>
    </w:lvl>
    <w:lvl w:ilvl="2" w:tplc="08090005" w:tentative="1">
      <w:start w:val="1"/>
      <w:numFmt w:val="bullet"/>
      <w:lvlText w:val=""/>
      <w:lvlJc w:val="left"/>
      <w:pPr>
        <w:ind w:left="2160" w:hanging="360"/>
      </w:pPr>
      <w:rPr>
        <w:rFonts w:ascii="Arial" w:hAnsi="Arial" w:eastAsia="Arial" w:cs="Arial"/>
        <w:sz w:val="20"/>
        <w:szCs w:val="20"/>
      </w:rPr>
    </w:lvl>
    <w:lvl w:ilvl="3" w:tplc="08090001" w:tentative="1">
      <w:start w:val="1"/>
      <w:numFmt w:val="bullet"/>
      <w:lvlText w:val=""/>
      <w:lvlJc w:val="left"/>
      <w:pPr>
        <w:ind w:left="2880" w:hanging="360"/>
      </w:pPr>
      <w:rPr>
        <w:rFonts w:ascii="Arial" w:hAnsi="Arial" w:eastAsia="Arial" w:cs="Arial"/>
        <w:sz w:val="20"/>
        <w:szCs w:val="20"/>
      </w:rPr>
    </w:lvl>
    <w:lvl w:ilvl="4" w:tplc="08090003" w:tentative="1">
      <w:start w:val="1"/>
      <w:numFmt w:val="bullet"/>
      <w:lvlText w:val="o"/>
      <w:lvlJc w:val="left"/>
      <w:pPr>
        <w:ind w:left="3600" w:hanging="360"/>
      </w:pPr>
      <w:rPr>
        <w:rFonts w:ascii="Arial" w:hAnsi="Arial" w:eastAsia="Arial" w:cs="Arial"/>
        <w:sz w:val="20"/>
        <w:szCs w:val="20"/>
      </w:rPr>
    </w:lvl>
    <w:lvl w:ilvl="5" w:tplc="08090005" w:tentative="1">
      <w:start w:val="1"/>
      <w:numFmt w:val="bullet"/>
      <w:lvlText w:val=""/>
      <w:lvlJc w:val="left"/>
      <w:pPr>
        <w:ind w:left="4320" w:hanging="360"/>
      </w:pPr>
      <w:rPr>
        <w:rFonts w:ascii="Arial" w:hAnsi="Arial" w:eastAsia="Arial" w:cs="Arial"/>
        <w:sz w:val="20"/>
        <w:szCs w:val="20"/>
      </w:rPr>
    </w:lvl>
    <w:lvl w:ilvl="6" w:tplc="08090001" w:tentative="1">
      <w:start w:val="1"/>
      <w:numFmt w:val="bullet"/>
      <w:lvlText w:val=""/>
      <w:lvlJc w:val="left"/>
      <w:pPr>
        <w:ind w:left="5040" w:hanging="360"/>
      </w:pPr>
      <w:rPr>
        <w:rFonts w:ascii="Arial" w:hAnsi="Arial" w:eastAsia="Arial" w:cs="Arial"/>
        <w:sz w:val="20"/>
        <w:szCs w:val="20"/>
      </w:rPr>
    </w:lvl>
    <w:lvl w:ilvl="7" w:tplc="08090003" w:tentative="1">
      <w:start w:val="1"/>
      <w:numFmt w:val="bullet"/>
      <w:lvlText w:val="o"/>
      <w:lvlJc w:val="left"/>
      <w:pPr>
        <w:ind w:left="5760" w:hanging="360"/>
      </w:pPr>
      <w:rPr>
        <w:rFonts w:ascii="Arial" w:hAnsi="Arial" w:eastAsia="Arial" w:cs="Arial"/>
        <w:sz w:val="20"/>
        <w:szCs w:val="20"/>
      </w:rPr>
    </w:lvl>
    <w:lvl w:ilvl="8" w:tplc="08090005" w:tentative="1">
      <w:start w:val="1"/>
      <w:numFmt w:val="bullet"/>
      <w:lvlText w:val=""/>
      <w:lvlJc w:val="left"/>
      <w:pPr>
        <w:ind w:left="6480" w:hanging="360"/>
      </w:pPr>
      <w:rPr>
        <w:rFonts w:ascii="Arial" w:hAnsi="Arial" w:eastAsia="Arial" w:cs="Arial"/>
        <w:sz w:val="20"/>
        <w:szCs w:val="20"/>
      </w:rPr>
    </w:lvl>
  </w:abstractNum>
  <w:abstractNum w:abstractNumId="20" w15:restartNumberingAfterBreak="0">
    <w:nsid w:val="5D5A0A47"/>
    <w:multiLevelType w:val="hybridMultilevel"/>
    <w:tmpl w:val="47BA11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9154593">
    <w:abstractNumId w:val="8"/>
  </w:num>
  <w:num w:numId="2" w16cid:durableId="514196822">
    <w:abstractNumId w:val="6"/>
  </w:num>
  <w:num w:numId="3" w16cid:durableId="585722606">
    <w:abstractNumId w:val="5"/>
  </w:num>
  <w:num w:numId="4" w16cid:durableId="1316297286">
    <w:abstractNumId w:val="4"/>
  </w:num>
  <w:num w:numId="5" w16cid:durableId="70467570">
    <w:abstractNumId w:val="7"/>
  </w:num>
  <w:num w:numId="6" w16cid:durableId="1280601992">
    <w:abstractNumId w:val="3"/>
  </w:num>
  <w:num w:numId="7" w16cid:durableId="198469434">
    <w:abstractNumId w:val="2"/>
  </w:num>
  <w:num w:numId="8" w16cid:durableId="635068732">
    <w:abstractNumId w:val="1"/>
  </w:num>
  <w:num w:numId="9" w16cid:durableId="53358993">
    <w:abstractNumId w:val="0"/>
  </w:num>
  <w:num w:numId="10" w16cid:durableId="48576207">
    <w:abstractNumId w:val="20"/>
  </w:num>
  <w:num w:numId="11" w16cid:durableId="776099713">
    <w:abstractNumId w:val="12"/>
  </w:num>
  <w:num w:numId="12" w16cid:durableId="409624786">
    <w:abstractNumId w:val="13"/>
  </w:num>
  <w:num w:numId="13" w16cid:durableId="978264250">
    <w:abstractNumId w:val="14"/>
  </w:num>
  <w:num w:numId="14" w16cid:durableId="1306007237">
    <w:abstractNumId w:val="17"/>
  </w:num>
  <w:num w:numId="15" w16cid:durableId="1821650077">
    <w:abstractNumId w:val="16"/>
  </w:num>
  <w:num w:numId="16" w16cid:durableId="922836351">
    <w:abstractNumId w:val="10"/>
  </w:num>
  <w:num w:numId="17" w16cid:durableId="988632940">
    <w:abstractNumId w:val="18"/>
  </w:num>
  <w:num w:numId="18" w16cid:durableId="785008537">
    <w:abstractNumId w:val="9"/>
  </w:num>
  <w:num w:numId="19" w16cid:durableId="1844469305">
    <w:abstractNumId w:val="11"/>
  </w:num>
  <w:num w:numId="20" w16cid:durableId="1828594134">
    <w:abstractNumId w:val="15"/>
  </w:num>
  <w:num w:numId="21" w16cid:durableId="1430158343">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1C17"/>
    <w:rsid w:val="0015074B"/>
    <w:rsid w:val="0020464B"/>
    <w:rsid w:val="002601F3"/>
    <w:rsid w:val="00274B8B"/>
    <w:rsid w:val="0029639D"/>
    <w:rsid w:val="00326F90"/>
    <w:rsid w:val="00373D14"/>
    <w:rsid w:val="00374014"/>
    <w:rsid w:val="00484777"/>
    <w:rsid w:val="00552855"/>
    <w:rsid w:val="00594976"/>
    <w:rsid w:val="006B60C5"/>
    <w:rsid w:val="006F54F2"/>
    <w:rsid w:val="00705FB2"/>
    <w:rsid w:val="0082754C"/>
    <w:rsid w:val="00860303"/>
    <w:rsid w:val="00885E26"/>
    <w:rsid w:val="008B6C93"/>
    <w:rsid w:val="008F64FC"/>
    <w:rsid w:val="00932CEC"/>
    <w:rsid w:val="009D0658"/>
    <w:rsid w:val="00AA1D8D"/>
    <w:rsid w:val="00B31F24"/>
    <w:rsid w:val="00B47730"/>
    <w:rsid w:val="00BA2940"/>
    <w:rsid w:val="00C21F76"/>
    <w:rsid w:val="00C65B51"/>
    <w:rsid w:val="00CB0664"/>
    <w:rsid w:val="00DF45C1"/>
    <w:rsid w:val="00FC693F"/>
    <w:rsid w:val="00FF09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320C0C"/>
  <w14:defaultImageDpi w14:val="300"/>
  <w15:docId w15:val="{19112497-0207-0540-8254-ECD939F72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hAnsi="Arial" w:eastAsia="Arial" w:cs="Arial"/>
        <w:sz w:val="20"/>
        <w:szCs w:val="20"/>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Arial" w:hAnsi="Arial" w:eastAsia="Arial" w:cs="Arial"/>
      <w:color w:val="000000"/>
      <w:lang w:val="en-GB"/>
      <w:sz w:val="20"/>
      <w:szCs w:val="20"/>
    </w:rPr>
  </w:style>
  <w:style w:type="paragraph" w:styleId="Heading1">
    <w:name w:val="heading 1"/>
    <w:basedOn w:val="Normal"/>
    <w:next w:val="Normal"/>
    <w:link w:val="Heading1Char"/>
    <w:uiPriority w:val="9"/>
    <w:qFormat/>
    <w:rsid w:val="00FC693F"/>
    <w:pPr>
      <w:keepNext/>
      <w:keepLines/>
      <w:spacing w:before="200"/>
      <w:outlineLvl w:val="0"/>
    </w:pPr>
    <w:rPr>
      <w:rFonts w:ascii="Arial" w:hAnsi="Arial" w:eastAsia="Arial" w:cs="Arial"/>
      <w:b/>
      <w:bCs/>
      <w:sz w:val="20"/>
      <w:szCs w:val="20"/>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Arial" w:hAnsi="Arial" w:eastAsia="Arial" w:cs="Arial"/>
      <w:b/>
      <w:bCs/>
      <w:sz w:val="20"/>
      <w:szCs w:val="20"/>
    </w:rPr>
  </w:style>
  <w:style w:type="paragraph" w:styleId="Heading3">
    <w:name w:val="heading 3"/>
    <w:basedOn w:val="Normal"/>
    <w:next w:val="Normal"/>
    <w:link w:val="Heading3Char"/>
    <w:uiPriority w:val="9"/>
    <w:unhideWhenUsed/>
    <w:qFormat/>
    <w:rsid w:val="00FC693F"/>
    <w:pPr>
      <w:keepNext/>
      <w:keepLines/>
      <w:spacing w:before="120" w:after="80"/>
      <w:outlineLvl w:val="2"/>
    </w:pPr>
    <w:rPr>
      <w:rFonts w:ascii="Arial" w:hAnsi="Arial" w:eastAsia="Arial" w:cs="Arial"/>
      <w:b/>
      <w:bCs/>
      <w:sz w:val="20"/>
      <w:szCs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sz w:val="20"/>
      <w:szCs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sz w:val="20"/>
      <w:szCs w:val="2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sz w:val="20"/>
      <w:szCs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sz w:val="20"/>
      <w:szCs w:val="2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0"/>
      <w:szCs w:val="20"/>
    </w:rPr>
  </w:style>
  <w:style w:type="character" w:default="1" w:styleId="DefaultParagraphFont">
    <w:rPr>
      <w:rFonts w:ascii="Arial" w:hAnsi="Arial" w:eastAsia="Arial" w:cs="Arial"/>
      <w:sz w:val="20"/>
      <w:szCs w:val="20"/>
    </w:rPr>
    <w:name w:val="Default Paragraph Font"/>
    <w:uiPriority w:val="1"/>
    <w:semiHidden/>
    <w:unhideWhenUsed/>
  </w:style>
  <w:style w:type="table" w:default="1" w:styleId="TableNormal">
    <w:rPr>
      <w:rFonts w:ascii="Arial" w:hAnsi="Arial" w:eastAsia="Arial" w:cs="Arial"/>
      <w:sz w:val="20"/>
      <w:szCs w:val="20"/>
    </w:rPr>
    <w:name w:val="Normal Table"/>
    <w:uiPriority w:val="99"/>
    <w:semiHidden/>
    <w:unhideWhenUsed/>
    <w:tblPr>
      <w:tblInd w:w="0" w:type="dxa"/>
      <w:tblCellMar>
        <w:top w:w="0" w:type="dxa"/>
        <w:left w:w="108" w:type="dxa"/>
        <w:bottom w:w="0" w:type="dxa"/>
        <w:right w:w="108" w:type="dxa"/>
      </w:tblCellMar>
    </w:tblPr>
  </w:style>
  <w:style w:type="numbering" w:default="1" w:styleId="NoList">
    <w:rPr>
      <w:rFonts w:ascii="Arial" w:hAnsi="Arial" w:eastAsia="Arial" w:cs="Arial"/>
      <w:sz w:val="20"/>
      <w:szCs w:val="20"/>
    </w:rPr>
    <w:name w:val="No List"/>
    <w:uiPriority w:val="99"/>
    <w:semiHidden/>
    <w:unhideWhenUsed/>
  </w:style>
  <w:style w:type="paragraph" w:styleId="Header">
    <w:rPr>
      <w:rFonts w:ascii="Arial" w:hAnsi="Arial" w:eastAsia="Arial" w:cs="Arial"/>
      <w:sz w:val="20"/>
      <w:szCs w:val="20"/>
    </w:rP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rPr>
      <w:rFonts w:ascii="Arial" w:hAnsi="Arial" w:eastAsia="Arial" w:cs="Arial"/>
      <w:sz w:val="20"/>
      <w:szCs w:val="20"/>
    </w:rPr>
    <w:name w:val="Header Char"/>
    <w:basedOn w:val="DefaultParagraphFont"/>
    <w:link w:val="Header"/>
    <w:uiPriority w:val="99"/>
    <w:rsid w:val="00E618BF"/>
  </w:style>
  <w:style w:type="paragraph" w:styleId="Footer">
    <w:rPr>
      <w:rFonts w:ascii="Arial" w:hAnsi="Arial" w:eastAsia="Arial" w:cs="Arial"/>
      <w:sz w:val="20"/>
      <w:szCs w:val="20"/>
    </w:rP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rPr>
      <w:rFonts w:ascii="Arial" w:hAnsi="Arial" w:eastAsia="Arial" w:cs="Arial"/>
      <w:sz w:val="20"/>
      <w:szCs w:val="20"/>
    </w:rPr>
    <w:name w:val="Footer Char"/>
    <w:basedOn w:val="DefaultParagraphFont"/>
    <w:link w:val="Footer"/>
    <w:uiPriority w:val="99"/>
    <w:rsid w:val="00E618BF"/>
  </w:style>
  <w:style w:type="paragraph" w:styleId="NoSpacing">
    <w:rPr>
      <w:rFonts w:ascii="Arial" w:hAnsi="Arial" w:eastAsia="Arial" w:cs="Arial"/>
      <w:sz w:val="20"/>
      <w:szCs w:val="20"/>
    </w:rPr>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0"/>
      <w:szCs w:val="20"/>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0"/>
      <w:szCs w:val="20"/>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sz w:val="20"/>
      <w:szCs w:val="20"/>
    </w:rPr>
  </w:style>
  <w:style w:type="paragraph" w:styleId="Title">
    <w:name w:val="Title"/>
    <w:basedOn w:val="Normal"/>
    <w:next w:val="Normal"/>
    <w:link w:val="TitleChar"/>
    <w:uiPriority w:val="10"/>
    <w:qFormat/>
    <w:rsid w:val="00FC693F"/>
    <w:pPr>
      <w:keepNext/>
      <w:spacing w:after="200" w:line="240" w:lineRule="auto"/>
      <w:contextualSpacing/>
    </w:pPr>
    <w:rPr>
      <w:rFonts w:ascii="Arial" w:hAnsi="Arial" w:eastAsia="Arial" w:cs="Arial"/>
      <w:b/>
      <w:spacing w:val="5"/>
      <w:kern w:val="28"/>
      <w:sz w:val="20"/>
      <w:szCs w:val="20"/>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20"/>
      <w:szCs w:val="20"/>
    </w:rPr>
  </w:style>
  <w:style w:type="paragraph" w:styleId="Subtitle">
    <w:name w:val="Subtitle"/>
    <w:basedOn w:val="Normal"/>
    <w:next w:val="Normal"/>
    <w:link w:val="SubtitleChar"/>
    <w:uiPriority w:val="11"/>
    <w:qFormat/>
    <w:rsid w:val="00FC693F"/>
    <w:pPr>
      <w:keepNext/>
      <w:numPr>
        <w:ilvl w:val="1"/>
      </w:numPr>
      <w:spacing w:after="160"/>
    </w:pPr>
    <w:rPr>
      <w:rFonts w:ascii="Arial" w:hAnsi="Arial" w:eastAsia="Arial" w:cs="Arial"/>
      <w:i/>
      <w:iCs/>
      <w:spacing w:val="15"/>
      <w:sz w:val="20"/>
      <w:szCs w:val="20"/>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0"/>
      <w:szCs w:val="20"/>
    </w:rPr>
  </w:style>
  <w:style w:type="paragraph" w:styleId="ListParagraph">
    <w:rPr>
      <w:rFonts w:ascii="Arial" w:hAnsi="Arial" w:eastAsia="Arial" w:cs="Arial"/>
      <w:sz w:val="20"/>
      <w:szCs w:val="20"/>
    </w:rPr>
    <w:name w:val="List Paragraph"/>
    <w:basedOn w:val="Normal"/>
    <w:uiPriority w:val="34"/>
    <w:qFormat/>
    <w:rsid w:val="00FC693F"/>
    <w:pPr>
      <w:ind w:left="720"/>
      <w:contextualSpacing/>
    </w:pPr>
  </w:style>
  <w:style w:type="paragraph" w:styleId="BodyText">
    <w:rPr>
      <w:rFonts w:ascii="Arial" w:hAnsi="Arial" w:eastAsia="Arial" w:cs="Arial"/>
      <w:sz w:val="20"/>
      <w:szCs w:val="20"/>
    </w:rPr>
    <w:name w:val="Body Text"/>
    <w:basedOn w:val="Normal"/>
    <w:link w:val="BodyTextChar"/>
    <w:uiPriority w:val="99"/>
    <w:unhideWhenUsed/>
    <w:rsid w:val="00AA1D8D"/>
  </w:style>
  <w:style w:type="character" w:customStyle="1" w:styleId="BodyTextChar">
    <w:rPr>
      <w:rFonts w:ascii="Arial" w:hAnsi="Arial" w:eastAsia="Arial" w:cs="Arial"/>
      <w:sz w:val="20"/>
      <w:szCs w:val="20"/>
    </w:rPr>
    <w:name w:val="Body Text Char"/>
    <w:basedOn w:val="DefaultParagraphFont"/>
    <w:link w:val="BodyText"/>
    <w:uiPriority w:val="99"/>
    <w:rsid w:val="00AA1D8D"/>
  </w:style>
  <w:style w:type="paragraph" w:styleId="BodyText2">
    <w:rPr>
      <w:rFonts w:ascii="Arial" w:hAnsi="Arial" w:eastAsia="Arial" w:cs="Arial"/>
      <w:sz w:val="20"/>
      <w:szCs w:val="20"/>
    </w:rPr>
    <w:name w:val="Body Text 2"/>
    <w:basedOn w:val="Normal"/>
    <w:link w:val="BodyText2Char"/>
    <w:uiPriority w:val="99"/>
    <w:unhideWhenUsed/>
    <w:rsid w:val="00AA1D8D"/>
    <w:pPr>
      <w:spacing w:line="480" w:lineRule="auto"/>
    </w:pPr>
  </w:style>
  <w:style w:type="character" w:customStyle="1" w:styleId="BodyText2Char">
    <w:rPr>
      <w:rFonts w:ascii="Arial" w:hAnsi="Arial" w:eastAsia="Arial" w:cs="Arial"/>
      <w:sz w:val="20"/>
      <w:szCs w:val="20"/>
    </w:rP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20"/>
      <w:szCs w:val="20"/>
      <w:rFonts w:ascii="Arial" w:hAnsi="Arial" w:eastAsia="Arial" w:cs="Arial"/>
    </w:rPr>
  </w:style>
  <w:style w:type="character" w:customStyle="1" w:styleId="BodyText3Char">
    <w:name w:val="Body Text 3 Char"/>
    <w:basedOn w:val="DefaultParagraphFont"/>
    <w:link w:val="BodyText3"/>
    <w:uiPriority w:val="99"/>
    <w:rsid w:val="00AA1D8D"/>
    <w:rPr>
      <w:sz w:val="20"/>
      <w:szCs w:val="20"/>
      <w:rFonts w:ascii="Arial" w:hAnsi="Arial" w:eastAsia="Arial" w:cs="Arial"/>
    </w:rPr>
  </w:style>
  <w:style w:type="paragraph" w:styleId="List">
    <w:rPr>
      <w:rFonts w:ascii="Arial" w:hAnsi="Arial" w:eastAsia="Arial" w:cs="Arial"/>
      <w:sz w:val="20"/>
      <w:szCs w:val="20"/>
    </w:rPr>
    <w:name w:val="List"/>
    <w:basedOn w:val="Normal"/>
    <w:uiPriority w:val="99"/>
    <w:unhideWhenUsed/>
    <w:rsid w:val="00AA1D8D"/>
    <w:pPr>
      <w:ind w:left="360" w:hanging="360"/>
      <w:contextualSpacing/>
    </w:pPr>
  </w:style>
  <w:style w:type="paragraph" w:styleId="List2">
    <w:rPr>
      <w:rFonts w:ascii="Arial" w:hAnsi="Arial" w:eastAsia="Arial" w:cs="Arial"/>
      <w:sz w:val="20"/>
      <w:szCs w:val="20"/>
    </w:rPr>
    <w:name w:val="List 2"/>
    <w:basedOn w:val="Normal"/>
    <w:uiPriority w:val="99"/>
    <w:unhideWhenUsed/>
    <w:rsid w:val="00326F90"/>
    <w:pPr>
      <w:ind w:left="720" w:hanging="360"/>
      <w:contextualSpacing/>
    </w:pPr>
  </w:style>
  <w:style w:type="paragraph" w:styleId="List3">
    <w:rPr>
      <w:rFonts w:ascii="Arial" w:hAnsi="Arial" w:eastAsia="Arial" w:cs="Arial"/>
      <w:sz w:val="20"/>
      <w:szCs w:val="20"/>
    </w:rPr>
    <w:name w:val="List 3"/>
    <w:basedOn w:val="Normal"/>
    <w:uiPriority w:val="99"/>
    <w:unhideWhenUsed/>
    <w:rsid w:val="00326F90"/>
    <w:pPr>
      <w:ind w:left="1080" w:hanging="360"/>
      <w:contextualSpacing/>
    </w:pPr>
  </w:style>
  <w:style w:type="paragraph" w:styleId="ListBullet">
    <w:rPr>
      <w:rFonts w:ascii="Arial" w:hAnsi="Arial" w:eastAsia="Arial" w:cs="Arial"/>
      <w:sz w:val="20"/>
      <w:szCs w:val="20"/>
    </w:rPr>
    <w:name w:val="List Bullet"/>
    <w:basedOn w:val="Normal"/>
    <w:uiPriority w:val="99"/>
    <w:unhideWhenUsed/>
    <w:rsid w:val="00326F90"/>
    <w:pPr>
      <w:numPr>
        <w:numId w:val="1"/>
      </w:numPr>
      <w:contextualSpacing/>
    </w:pPr>
  </w:style>
  <w:style w:type="paragraph" w:styleId="ListBullet2">
    <w:rPr>
      <w:rFonts w:ascii="Arial" w:hAnsi="Arial" w:eastAsia="Arial" w:cs="Arial"/>
      <w:sz w:val="20"/>
      <w:szCs w:val="20"/>
    </w:rPr>
    <w:name w:val="List Bullet 2"/>
    <w:basedOn w:val="Normal"/>
    <w:uiPriority w:val="99"/>
    <w:unhideWhenUsed/>
    <w:rsid w:val="00326F90"/>
    <w:pPr>
      <w:numPr>
        <w:numId w:val="2"/>
      </w:numPr>
      <w:contextualSpacing/>
    </w:pPr>
  </w:style>
  <w:style w:type="paragraph" w:styleId="ListBullet3">
    <w:rPr>
      <w:rFonts w:ascii="Arial" w:hAnsi="Arial" w:eastAsia="Arial" w:cs="Arial"/>
      <w:sz w:val="20"/>
      <w:szCs w:val="20"/>
    </w:rPr>
    <w:name w:val="List Bullet 3"/>
    <w:basedOn w:val="Normal"/>
    <w:uiPriority w:val="99"/>
    <w:unhideWhenUsed/>
    <w:rsid w:val="00326F90"/>
    <w:pPr>
      <w:numPr>
        <w:numId w:val="3"/>
      </w:numPr>
      <w:contextualSpacing/>
    </w:pPr>
  </w:style>
  <w:style w:type="paragraph" w:styleId="ListNumber">
    <w:rPr>
      <w:rFonts w:ascii="Arial" w:hAnsi="Arial" w:eastAsia="Arial" w:cs="Arial"/>
      <w:sz w:val="20"/>
      <w:szCs w:val="20"/>
    </w:rPr>
    <w:name w:val="List Number"/>
    <w:basedOn w:val="Normal"/>
    <w:uiPriority w:val="99"/>
    <w:unhideWhenUsed/>
    <w:rsid w:val="00326F90"/>
    <w:pPr>
      <w:numPr>
        <w:numId w:val="5"/>
      </w:numPr>
      <w:contextualSpacing/>
    </w:pPr>
  </w:style>
  <w:style w:type="paragraph" w:styleId="ListNumber2">
    <w:rPr>
      <w:rFonts w:ascii="Arial" w:hAnsi="Arial" w:eastAsia="Arial" w:cs="Arial"/>
      <w:sz w:val="20"/>
      <w:szCs w:val="20"/>
    </w:rPr>
    <w:name w:val="List Number 2"/>
    <w:basedOn w:val="Normal"/>
    <w:uiPriority w:val="99"/>
    <w:unhideWhenUsed/>
    <w:rsid w:val="0029639D"/>
    <w:pPr>
      <w:numPr>
        <w:numId w:val="6"/>
      </w:numPr>
      <w:contextualSpacing/>
    </w:pPr>
  </w:style>
  <w:style w:type="paragraph" w:styleId="ListNumber3">
    <w:rPr>
      <w:rFonts w:ascii="Arial" w:hAnsi="Arial" w:eastAsia="Arial" w:cs="Arial"/>
      <w:sz w:val="20"/>
      <w:szCs w:val="20"/>
    </w:rPr>
    <w:name w:val="List Number 3"/>
    <w:basedOn w:val="Normal"/>
    <w:uiPriority w:val="99"/>
    <w:unhideWhenUsed/>
    <w:rsid w:val="0029639D"/>
    <w:pPr>
      <w:numPr>
        <w:numId w:val="7"/>
      </w:numPr>
      <w:contextualSpacing/>
    </w:pPr>
  </w:style>
  <w:style w:type="paragraph" w:styleId="ListContinue">
    <w:rPr>
      <w:rFonts w:ascii="Arial" w:hAnsi="Arial" w:eastAsia="Arial" w:cs="Arial"/>
      <w:sz w:val="20"/>
      <w:szCs w:val="20"/>
    </w:rPr>
    <w:name w:val="List Continue"/>
    <w:basedOn w:val="Normal"/>
    <w:uiPriority w:val="99"/>
    <w:unhideWhenUsed/>
    <w:rsid w:val="0029639D"/>
    <w:pPr>
      <w:ind w:left="360"/>
      <w:contextualSpacing/>
    </w:pPr>
  </w:style>
  <w:style w:type="paragraph" w:styleId="ListContinue2">
    <w:rPr>
      <w:rFonts w:ascii="Arial" w:hAnsi="Arial" w:eastAsia="Arial" w:cs="Arial"/>
      <w:sz w:val="20"/>
      <w:szCs w:val="20"/>
    </w:rPr>
    <w:name w:val="List Continue 2"/>
    <w:basedOn w:val="Normal"/>
    <w:uiPriority w:val="99"/>
    <w:unhideWhenUsed/>
    <w:rsid w:val="0029639D"/>
    <w:pPr>
      <w:ind w:left="720"/>
      <w:contextualSpacing/>
    </w:pPr>
  </w:style>
  <w:style w:type="paragraph" w:styleId="ListContinue3">
    <w:rPr>
      <w:rFonts w:ascii="Arial" w:hAnsi="Arial" w:eastAsia="Arial" w:cs="Arial"/>
      <w:sz w:val="20"/>
      <w:szCs w:val="20"/>
    </w:rPr>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0"/>
      <w:szCs w:val="20"/>
    </w:rPr>
  </w:style>
  <w:style w:type="character" w:customStyle="1" w:styleId="MacroTextChar">
    <w:name w:val="Macro Text Char"/>
    <w:basedOn w:val="DefaultParagraphFont"/>
    <w:link w:val="MacroText"/>
    <w:uiPriority w:val="99"/>
    <w:rsid w:val="0029639D"/>
    <w:rPr>
      <w:rFonts w:ascii="Arial" w:hAnsi="Arial" w:eastAsia="Arial" w:cs="Arial"/>
      <w:sz w:val="20"/>
      <w:szCs w:val="20"/>
    </w:rPr>
  </w:style>
  <w:style w:type="paragraph" w:styleId="Quote">
    <w:name w:val="Quote"/>
    <w:basedOn w:val="Normal"/>
    <w:next w:val="Normal"/>
    <w:link w:val="QuoteChar"/>
    <w:uiPriority w:val="29"/>
    <w:qFormat/>
    <w:rsid w:val="00FC693F"/>
    <w:rPr>
      <w:i/>
      <w:iCs/>
      <w:color w:val="000000" w:themeColor="text1"/>
      <w:rFonts w:ascii="Arial" w:hAnsi="Arial" w:eastAsia="Arial" w:cs="Arial"/>
      <w:sz w:val="20"/>
      <w:szCs w:val="20"/>
    </w:rPr>
  </w:style>
  <w:style w:type="character" w:customStyle="1" w:styleId="QuoteChar">
    <w:name w:val="Quote Char"/>
    <w:basedOn w:val="DefaultParagraphFont"/>
    <w:link w:val="Quote"/>
    <w:uiPriority w:val="29"/>
    <w:rsid w:val="00FC693F"/>
    <w:rPr>
      <w:i/>
      <w:iCs/>
      <w:color w:val="000000" w:themeColor="text1"/>
      <w:rFonts w:ascii="Arial" w:hAnsi="Arial" w:eastAsia="Arial" w:cs="Arial"/>
      <w:sz w:val="20"/>
      <w:szCs w:val="20"/>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sz w:val="20"/>
      <w:szCs w:val="20"/>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sz w:val="20"/>
      <w:szCs w:val="20"/>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sz w:val="20"/>
      <w:szCs w:val="20"/>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sz w:val="20"/>
      <w:szCs w:val="20"/>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20"/>
      <w:szCs w:val="20"/>
      <w:rFonts w:ascii="Arial" w:hAnsi="Arial" w:eastAsia="Arial" w:cs="Arial"/>
    </w:rPr>
  </w:style>
  <w:style w:type="character" w:styleId="Strong">
    <w:name w:val="Strong"/>
    <w:basedOn w:val="DefaultParagraphFont"/>
    <w:uiPriority w:val="22"/>
    <w:qFormat/>
    <w:rsid w:val="00FC693F"/>
    <w:rPr>
      <w:b/>
      <w:bCs/>
      <w:rFonts w:ascii="Arial" w:hAnsi="Arial" w:eastAsia="Arial" w:cs="Arial"/>
      <w:sz w:val="20"/>
      <w:szCs w:val="20"/>
    </w:rPr>
  </w:style>
  <w:style w:type="character" w:styleId="Emphasis">
    <w:name w:val="Emphasis"/>
    <w:basedOn w:val="DefaultParagraphFont"/>
    <w:uiPriority w:val="20"/>
    <w:qFormat/>
    <w:rsid w:val="00FC693F"/>
    <w:rPr>
      <w:i/>
      <w:iCs/>
      <w:rFonts w:ascii="Arial" w:hAnsi="Arial" w:eastAsia="Arial" w:cs="Arial"/>
      <w:sz w:val="20"/>
      <w:szCs w:val="2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Fonts w:ascii="Arial" w:hAnsi="Arial" w:eastAsia="Arial" w:cs="Arial"/>
      <w:sz w:val="20"/>
      <w:szCs w:val="20"/>
    </w:rPr>
  </w:style>
  <w:style w:type="character" w:customStyle="1" w:styleId="IntenseQuoteChar">
    <w:name w:val="Intense Quote Char"/>
    <w:basedOn w:val="DefaultParagraphFont"/>
    <w:link w:val="IntenseQuote"/>
    <w:uiPriority w:val="30"/>
    <w:rsid w:val="00FC693F"/>
    <w:rPr>
      <w:b/>
      <w:bCs/>
      <w:i/>
      <w:iCs/>
      <w:color w:val="4F81BD" w:themeColor="accent1"/>
      <w:rFonts w:ascii="Arial" w:hAnsi="Arial" w:eastAsia="Arial" w:cs="Arial"/>
      <w:sz w:val="20"/>
      <w:szCs w:val="20"/>
    </w:rPr>
  </w:style>
  <w:style w:type="character" w:styleId="SubtleEmphasis">
    <w:name w:val="Subtle Emphasis"/>
    <w:basedOn w:val="DefaultParagraphFont"/>
    <w:uiPriority w:val="19"/>
    <w:qFormat/>
    <w:rsid w:val="00FC693F"/>
    <w:rPr>
      <w:i/>
      <w:iCs/>
      <w:color w:val="808080" w:themeColor="text1" w:themeTint="7F"/>
      <w:rFonts w:ascii="Arial" w:hAnsi="Arial" w:eastAsia="Arial" w:cs="Arial"/>
      <w:sz w:val="20"/>
      <w:szCs w:val="20"/>
    </w:rPr>
  </w:style>
  <w:style w:type="character" w:styleId="IntenseEmphasis">
    <w:name w:val="Intense Emphasis"/>
    <w:basedOn w:val="DefaultParagraphFont"/>
    <w:uiPriority w:val="21"/>
    <w:qFormat/>
    <w:rsid w:val="00FC693F"/>
    <w:rPr>
      <w:b/>
      <w:bCs/>
      <w:i/>
      <w:iCs/>
      <w:color w:val="4F81BD" w:themeColor="accent1"/>
      <w:rFonts w:ascii="Arial" w:hAnsi="Arial" w:eastAsia="Arial" w:cs="Arial"/>
      <w:sz w:val="20"/>
      <w:szCs w:val="20"/>
    </w:rPr>
  </w:style>
  <w:style w:type="character" w:styleId="SubtleReference">
    <w:name w:val="Subtle Reference"/>
    <w:basedOn w:val="DefaultParagraphFont"/>
    <w:uiPriority w:val="31"/>
    <w:qFormat/>
    <w:rsid w:val="00FC693F"/>
    <w:rPr>
      <w:smallCaps/>
      <w:color w:val="C0504D" w:themeColor="accent2"/>
      <w:u w:val="single"/>
      <w:rFonts w:ascii="Arial" w:hAnsi="Arial" w:eastAsia="Arial" w:cs="Arial"/>
      <w:sz w:val="20"/>
      <w:szCs w:val="20"/>
    </w:rPr>
  </w:style>
  <w:style w:type="character" w:styleId="IntenseReference">
    <w:name w:val="Intense Reference"/>
    <w:basedOn w:val="DefaultParagraphFont"/>
    <w:uiPriority w:val="32"/>
    <w:qFormat/>
    <w:rsid w:val="00FC693F"/>
    <w:rPr>
      <w:b/>
      <w:bCs/>
      <w:smallCaps/>
      <w:color w:val="C0504D" w:themeColor="accent2"/>
      <w:spacing w:val="5"/>
      <w:u w:val="single"/>
      <w:rFonts w:ascii="Arial" w:hAnsi="Arial" w:eastAsia="Arial" w:cs="Arial"/>
      <w:sz w:val="20"/>
      <w:szCs w:val="20"/>
    </w:rPr>
  </w:style>
  <w:style w:type="character" w:styleId="BookTitle">
    <w:name w:val="Book Title"/>
    <w:basedOn w:val="DefaultParagraphFont"/>
    <w:uiPriority w:val="33"/>
    <w:qFormat/>
    <w:rsid w:val="00FC693F"/>
    <w:rPr>
      <w:b/>
      <w:bCs/>
      <w:smallCaps/>
      <w:spacing w:val="5"/>
      <w:rFonts w:ascii="Arial" w:hAnsi="Arial" w:eastAsia="Arial" w:cs="Arial"/>
      <w:sz w:val="20"/>
      <w:szCs w:val="20"/>
    </w:rPr>
  </w:style>
  <w:style w:type="paragraph" w:styleId="TOCHeading">
    <w:rPr>
      <w:rFonts w:ascii="Arial" w:hAnsi="Arial" w:eastAsia="Arial" w:cs="Arial"/>
      <w:sz w:val="20"/>
      <w:szCs w:val="20"/>
    </w:rPr>
    <w:name w:val="TOC Heading"/>
    <w:basedOn w:val="Heading1"/>
    <w:next w:val="Normal"/>
    <w:uiPriority w:val="39"/>
    <w:semiHidden/>
    <w:unhideWhenUsed/>
    <w:qFormat/>
    <w:rsid w:val="00FC693F"/>
    <w:pPr>
      <w:outlineLvl w:val="9"/>
    </w:pPr>
  </w:style>
  <w:style w:type="table" w:styleId="TableGrid">
    <w:rPr>
      <w:rFonts w:ascii="Arial" w:hAnsi="Arial" w:eastAsia="Arial" w:cs="Arial"/>
      <w:sz w:val="20"/>
      <w:szCs w:val="20"/>
    </w:rPr>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Fonts w:ascii="Arial" w:hAnsi="Arial" w:eastAsia="Arial" w:cs="Arial"/>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Fonts w:ascii="Arial" w:hAnsi="Arial" w:eastAsia="Arial" w:cs="Arial"/>
        <w:sz w:val="20"/>
        <w:szCs w:val="20"/>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Fonts w:ascii="Arial" w:hAnsi="Arial" w:eastAsia="Arial" w:cs="Arial"/>
      <w:sz w:val="20"/>
      <w:szCs w:val="2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Fonts w:ascii="Arial" w:hAnsi="Arial" w:eastAsia="Arial" w:cs="Arial"/>
        <w:sz w:val="20"/>
        <w:szCs w:val="20"/>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Fonts w:ascii="Arial" w:hAnsi="Arial" w:eastAsia="Arial" w:cs="Arial"/>
      <w:sz w:val="20"/>
      <w:szCs w:val="2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Fonts w:ascii="Arial" w:hAnsi="Arial" w:eastAsia="Arial" w:cs="Arial"/>
        <w:sz w:val="20"/>
        <w:szCs w:val="20"/>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Fonts w:ascii="Arial" w:hAnsi="Arial" w:eastAsia="Arial" w:cs="Arial"/>
      <w:sz w:val="20"/>
      <w:szCs w:val="2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Fonts w:ascii="Arial" w:hAnsi="Arial" w:eastAsia="Arial" w:cs="Arial"/>
        <w:sz w:val="20"/>
        <w:szCs w:val="20"/>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Fonts w:ascii="Arial" w:hAnsi="Arial" w:eastAsia="Arial" w:cs="Arial"/>
      <w:sz w:val="20"/>
      <w:szCs w:val="2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Fonts w:ascii="Arial" w:hAnsi="Arial" w:eastAsia="Arial" w:cs="Arial"/>
        <w:sz w:val="20"/>
        <w:szCs w:val="20"/>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Fonts w:ascii="Arial" w:hAnsi="Arial" w:eastAsia="Arial" w:cs="Arial"/>
      <w:sz w:val="20"/>
      <w:szCs w:val="2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Fonts w:ascii="Arial" w:hAnsi="Arial" w:eastAsia="Arial" w:cs="Arial"/>
        <w:sz w:val="20"/>
        <w:szCs w:val="20"/>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Fonts w:ascii="Arial" w:hAnsi="Arial" w:eastAsia="Arial" w:cs="Arial"/>
      <w:sz w:val="20"/>
      <w:szCs w:val="2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Fonts w:ascii="Arial" w:hAnsi="Arial" w:eastAsia="Arial" w:cs="Arial"/>
        <w:sz w:val="20"/>
        <w:szCs w:val="20"/>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rPr>
      <w:rFonts w:ascii="Arial" w:hAnsi="Arial" w:eastAsia="Arial" w:cs="Arial"/>
      <w:sz w:val="20"/>
      <w:szCs w:val="20"/>
    </w:rPr>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000000" w:themeFill="text1"/>
      </w:tcPr>
    </w:tblStylePr>
    <w:tblStylePr w:type="lastRow">
      <w:pPr>
        <w:spacing w:before="0" w:after="0" w:line="240" w:lineRule="auto"/>
      </w:pPr>
      <w:rPr>
        <w:b/>
        <w:bCs/>
        <w:rFonts w:ascii="Arial" w:hAnsi="Arial" w:eastAsia="Arial" w:cs="Arial"/>
        <w:sz w:val="20"/>
        <w:szCs w:val="20"/>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rPr>
      <w:rFonts w:ascii="Arial" w:hAnsi="Arial" w:eastAsia="Arial" w:cs="Arial"/>
      <w:sz w:val="20"/>
      <w:szCs w:val="20"/>
    </w:rPr>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4F81BD" w:themeFill="accent1"/>
      </w:tcPr>
    </w:tblStylePr>
    <w:tblStylePr w:type="lastRow">
      <w:pPr>
        <w:spacing w:before="0" w:after="0" w:line="240" w:lineRule="auto"/>
      </w:pPr>
      <w:rPr>
        <w:b/>
        <w:bCs/>
        <w:rFonts w:ascii="Arial" w:hAnsi="Arial" w:eastAsia="Arial" w:cs="Arial"/>
        <w:sz w:val="20"/>
        <w:szCs w:val="20"/>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rPr>
      <w:rFonts w:ascii="Arial" w:hAnsi="Arial" w:eastAsia="Arial" w:cs="Arial"/>
      <w:sz w:val="20"/>
      <w:szCs w:val="20"/>
    </w:rPr>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C0504D" w:themeFill="accent2"/>
      </w:tcPr>
    </w:tblStylePr>
    <w:tblStylePr w:type="lastRow">
      <w:pPr>
        <w:spacing w:before="0" w:after="0" w:line="240" w:lineRule="auto"/>
      </w:pPr>
      <w:rPr>
        <w:b/>
        <w:bCs/>
        <w:rFonts w:ascii="Arial" w:hAnsi="Arial" w:eastAsia="Arial" w:cs="Arial"/>
        <w:sz w:val="20"/>
        <w:szCs w:val="20"/>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rPr>
      <w:rFonts w:ascii="Arial" w:hAnsi="Arial" w:eastAsia="Arial" w:cs="Arial"/>
      <w:sz w:val="20"/>
      <w:szCs w:val="20"/>
    </w:rPr>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9BBB59" w:themeFill="accent3"/>
      </w:tcPr>
    </w:tblStylePr>
    <w:tblStylePr w:type="lastRow">
      <w:pPr>
        <w:spacing w:before="0" w:after="0" w:line="240" w:lineRule="auto"/>
      </w:pPr>
      <w:rPr>
        <w:b/>
        <w:bCs/>
        <w:rFonts w:ascii="Arial" w:hAnsi="Arial" w:eastAsia="Arial" w:cs="Arial"/>
        <w:sz w:val="20"/>
        <w:szCs w:val="20"/>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rPr>
      <w:rFonts w:ascii="Arial" w:hAnsi="Arial" w:eastAsia="Arial" w:cs="Arial"/>
      <w:sz w:val="20"/>
      <w:szCs w:val="20"/>
    </w:rPr>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8064A2" w:themeFill="accent4"/>
      </w:tcPr>
    </w:tblStylePr>
    <w:tblStylePr w:type="lastRow">
      <w:pPr>
        <w:spacing w:before="0" w:after="0" w:line="240" w:lineRule="auto"/>
      </w:pPr>
      <w:rPr>
        <w:b/>
        <w:bCs/>
        <w:rFonts w:ascii="Arial" w:hAnsi="Arial" w:eastAsia="Arial" w:cs="Arial"/>
        <w:sz w:val="20"/>
        <w:szCs w:val="20"/>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rPr>
      <w:rFonts w:ascii="Arial" w:hAnsi="Arial" w:eastAsia="Arial" w:cs="Arial"/>
      <w:sz w:val="20"/>
      <w:szCs w:val="20"/>
    </w:rPr>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4BACC6" w:themeFill="accent5"/>
      </w:tcPr>
    </w:tblStylePr>
    <w:tblStylePr w:type="lastRow">
      <w:pPr>
        <w:spacing w:before="0" w:after="0" w:line="240" w:lineRule="auto"/>
      </w:pPr>
      <w:rPr>
        <w:b/>
        <w:bCs/>
        <w:rFonts w:ascii="Arial" w:hAnsi="Arial" w:eastAsia="Arial" w:cs="Arial"/>
        <w:sz w:val="20"/>
        <w:szCs w:val="20"/>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rPr>
      <w:rFonts w:ascii="Arial" w:hAnsi="Arial" w:eastAsia="Arial" w:cs="Arial"/>
      <w:sz w:val="20"/>
      <w:szCs w:val="20"/>
    </w:rPr>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F79646" w:themeFill="accent6"/>
      </w:tcPr>
    </w:tblStylePr>
    <w:tblStylePr w:type="lastRow">
      <w:pPr>
        <w:spacing w:before="0" w:after="0" w:line="240" w:lineRule="auto"/>
      </w:pPr>
      <w:rPr>
        <w:b/>
        <w:bCs/>
        <w:rFonts w:ascii="Arial" w:hAnsi="Arial" w:eastAsia="Arial" w:cs="Arial"/>
        <w:sz w:val="20"/>
        <w:szCs w:val="20"/>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rPr>
      <w:rFonts w:ascii="Arial" w:hAnsi="Arial" w:eastAsia="Arial" w:cs="Arial"/>
      <w:sz w:val="20"/>
      <w:szCs w:val="20"/>
    </w:rPr>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Arial" w:hAnsi="Arial" w:eastAsia="Arial" w:cs="Arial"/>
        <w:b/>
        <w:bCs/>
        <w:sz w:val="20"/>
        <w:szCs w:val="20"/>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sz w:val="20"/>
        <w:szCs w:val="20"/>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rPr>
      <w:rFonts w:ascii="Arial" w:hAnsi="Arial" w:eastAsia="Arial" w:cs="Arial"/>
      <w:sz w:val="20"/>
      <w:szCs w:val="20"/>
    </w:rPr>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Arial" w:hAnsi="Arial" w:eastAsia="Arial" w:cs="Arial"/>
        <w:b/>
        <w:bCs/>
        <w:sz w:val="20"/>
        <w:szCs w:val="20"/>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eastAsia="Arial" w:cs="Arial"/>
        <w:b/>
        <w:bCs/>
        <w:sz w:val="20"/>
        <w:szCs w:val="20"/>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rPr>
      <w:rFonts w:ascii="Arial" w:hAnsi="Arial" w:eastAsia="Arial" w:cs="Arial"/>
      <w:sz w:val="20"/>
      <w:szCs w:val="20"/>
    </w:rPr>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Arial" w:hAnsi="Arial" w:eastAsia="Arial" w:cs="Arial"/>
        <w:b/>
        <w:bCs/>
        <w:sz w:val="20"/>
        <w:szCs w:val="20"/>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eastAsia="Arial" w:cs="Arial"/>
        <w:b/>
        <w:bCs/>
        <w:sz w:val="20"/>
        <w:szCs w:val="20"/>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rPr>
      <w:rFonts w:ascii="Arial" w:hAnsi="Arial" w:eastAsia="Arial" w:cs="Arial"/>
      <w:sz w:val="20"/>
      <w:szCs w:val="20"/>
    </w:rPr>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Arial" w:hAnsi="Arial" w:eastAsia="Arial" w:cs="Arial"/>
        <w:b/>
        <w:bCs/>
        <w:sz w:val="20"/>
        <w:szCs w:val="20"/>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eastAsia="Arial" w:cs="Arial"/>
        <w:b/>
        <w:bCs/>
        <w:sz w:val="20"/>
        <w:szCs w:val="20"/>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rPr>
      <w:rFonts w:ascii="Arial" w:hAnsi="Arial" w:eastAsia="Arial" w:cs="Arial"/>
      <w:sz w:val="20"/>
      <w:szCs w:val="20"/>
    </w:rPr>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Arial" w:hAnsi="Arial" w:eastAsia="Arial" w:cs="Arial"/>
        <w:b/>
        <w:bCs/>
        <w:sz w:val="20"/>
        <w:szCs w:val="20"/>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eastAsia="Arial" w:cs="Arial"/>
        <w:b/>
        <w:bCs/>
        <w:sz w:val="20"/>
        <w:szCs w:val="20"/>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rPr>
      <w:rFonts w:ascii="Arial" w:hAnsi="Arial" w:eastAsia="Arial" w:cs="Arial"/>
      <w:sz w:val="20"/>
      <w:szCs w:val="20"/>
    </w:rPr>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Arial" w:hAnsi="Arial" w:eastAsia="Arial" w:cs="Arial"/>
        <w:b/>
        <w:bCs/>
        <w:sz w:val="20"/>
        <w:szCs w:val="20"/>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eastAsia="Arial" w:cs="Arial"/>
        <w:b/>
        <w:bCs/>
        <w:sz w:val="20"/>
        <w:szCs w:val="20"/>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rPr>
      <w:rFonts w:ascii="Arial" w:hAnsi="Arial" w:eastAsia="Arial" w:cs="Arial"/>
      <w:sz w:val="20"/>
      <w:szCs w:val="20"/>
    </w:rPr>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Arial" w:hAnsi="Arial" w:eastAsia="Arial" w:cs="Arial"/>
        <w:b/>
        <w:bCs/>
        <w:sz w:val="20"/>
        <w:szCs w:val="20"/>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eastAsia="Arial" w:cs="Arial"/>
        <w:b/>
        <w:bCs/>
        <w:sz w:val="20"/>
        <w:szCs w:val="20"/>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rPr>
      <w:rFonts w:ascii="Arial" w:hAnsi="Arial" w:eastAsia="Arial" w:cs="Arial"/>
      <w:sz w:val="20"/>
      <w:szCs w:val="20"/>
    </w:rPr>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Fonts w:ascii="Arial" w:hAnsi="Arial" w:eastAsia="Arial" w:cs="Arial"/>
        <w:sz w:val="20"/>
        <w:szCs w:val="20"/>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rPr>
      <w:rFonts w:ascii="Arial" w:hAnsi="Arial" w:eastAsia="Arial" w:cs="Arial"/>
      <w:sz w:val="20"/>
      <w:szCs w:val="20"/>
    </w:rPr>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Fonts w:ascii="Arial" w:hAnsi="Arial" w:eastAsia="Arial" w:cs="Arial"/>
        <w:sz w:val="20"/>
        <w:szCs w:val="20"/>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rPr>
      <w:rFonts w:ascii="Arial" w:hAnsi="Arial" w:eastAsia="Arial" w:cs="Arial"/>
      <w:sz w:val="20"/>
      <w:szCs w:val="20"/>
    </w:rPr>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Fonts w:ascii="Arial" w:hAnsi="Arial" w:eastAsia="Arial" w:cs="Arial"/>
        <w:sz w:val="20"/>
        <w:szCs w:val="20"/>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rPr>
      <w:rFonts w:ascii="Arial" w:hAnsi="Arial" w:eastAsia="Arial" w:cs="Arial"/>
      <w:sz w:val="20"/>
      <w:szCs w:val="20"/>
    </w:rPr>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Fonts w:ascii="Arial" w:hAnsi="Arial" w:eastAsia="Arial" w:cs="Arial"/>
        <w:sz w:val="20"/>
        <w:szCs w:val="20"/>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rPr>
      <w:rFonts w:ascii="Arial" w:hAnsi="Arial" w:eastAsia="Arial" w:cs="Arial"/>
      <w:sz w:val="20"/>
      <w:szCs w:val="20"/>
    </w:rPr>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Fonts w:ascii="Arial" w:hAnsi="Arial" w:eastAsia="Arial" w:cs="Arial"/>
        <w:sz w:val="20"/>
        <w:szCs w:val="20"/>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rPr>
      <w:rFonts w:ascii="Arial" w:hAnsi="Arial" w:eastAsia="Arial" w:cs="Arial"/>
      <w:sz w:val="20"/>
      <w:szCs w:val="20"/>
    </w:rPr>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Fonts w:ascii="Arial" w:hAnsi="Arial" w:eastAsia="Arial" w:cs="Arial"/>
        <w:sz w:val="20"/>
        <w:szCs w:val="20"/>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rPr>
      <w:rFonts w:ascii="Arial" w:hAnsi="Arial" w:eastAsia="Arial" w:cs="Arial"/>
      <w:sz w:val="20"/>
      <w:szCs w:val="20"/>
    </w:rPr>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Fonts w:ascii="Arial" w:hAnsi="Arial" w:eastAsia="Arial" w:cs="Arial"/>
        <w:sz w:val="20"/>
        <w:szCs w:val="20"/>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rPr>
      <w:rFonts w:ascii="Arial" w:hAnsi="Arial" w:eastAsia="Arial" w:cs="Arial"/>
      <w:sz w:val="20"/>
      <w:szCs w:val="20"/>
    </w:rPr>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1">
    <w:rPr>
      <w:rFonts w:ascii="Arial" w:hAnsi="Arial" w:eastAsia="Arial" w:cs="Arial"/>
      <w:sz w:val="20"/>
      <w:szCs w:val="20"/>
    </w:rPr>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2">
    <w:rPr>
      <w:rFonts w:ascii="Arial" w:hAnsi="Arial" w:eastAsia="Arial" w:cs="Arial"/>
      <w:sz w:val="20"/>
      <w:szCs w:val="20"/>
    </w:rPr>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3">
    <w:rPr>
      <w:rFonts w:ascii="Arial" w:hAnsi="Arial" w:eastAsia="Arial" w:cs="Arial"/>
      <w:sz w:val="20"/>
      <w:szCs w:val="20"/>
    </w:rPr>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4">
    <w:rPr>
      <w:rFonts w:ascii="Arial" w:hAnsi="Arial" w:eastAsia="Arial" w:cs="Arial"/>
      <w:sz w:val="20"/>
      <w:szCs w:val="20"/>
    </w:rPr>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5">
    <w:rPr>
      <w:rFonts w:ascii="Arial" w:hAnsi="Arial" w:eastAsia="Arial" w:cs="Arial"/>
      <w:sz w:val="20"/>
      <w:szCs w:val="20"/>
    </w:rPr>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6">
    <w:rPr>
      <w:rFonts w:ascii="Arial" w:hAnsi="Arial" w:eastAsia="Arial" w:cs="Arial"/>
      <w:sz w:val="20"/>
      <w:szCs w:val="20"/>
    </w:rPr>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000000" w:themeColor="text1"/>
        <w:bottom w:val="single" w:sz="8" w:space="0" w:color="000000" w:themeColor="text1"/>
      </w:tblBorders>
    </w:tblPr>
    <w:tblStylePr w:type="firstRow">
      <w:rPr>
        <w:rFonts w:ascii="Arial" w:hAnsi="Arial" w:eastAsia="Arial" w:cs="Arial"/>
        <w:sz w:val="20"/>
        <w:szCs w:val="20"/>
      </w:rPr>
      <w:tblPr/>
      <w:tcPr>
        <w:tcBorders>
          <w:top w:val="nil"/>
          <w:bottom w:val="single" w:sz="8" w:space="0" w:color="000000" w:themeColor="text1"/>
        </w:tcBorders>
      </w:tcPr>
    </w:tblStylePr>
    <w:tblStylePr w:type="lastRow">
      <w:rPr>
        <w:b/>
        <w:bCs/>
        <w:color w:val="1F497D" w:themeColor="text2"/>
        <w:rFonts w:ascii="Arial" w:hAnsi="Arial" w:eastAsia="Arial" w:cs="Arial"/>
        <w:sz w:val="20"/>
        <w:szCs w:val="20"/>
      </w:rPr>
      <w:tblPr/>
      <w:tcPr>
        <w:tcBorders>
          <w:top w:val="single" w:sz="8" w:space="0" w:color="000000" w:themeColor="text1"/>
          <w:bottom w:val="single" w:sz="8" w:space="0" w:color="000000" w:themeColor="text1"/>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4F81BD" w:themeColor="accent1"/>
        <w:bottom w:val="single" w:sz="8" w:space="0" w:color="4F81BD" w:themeColor="accent1"/>
      </w:tblBorders>
    </w:tblPr>
    <w:tblStylePr w:type="firstRow">
      <w:rPr>
        <w:rFonts w:ascii="Arial" w:hAnsi="Arial" w:eastAsia="Arial" w:cs="Arial"/>
        <w:sz w:val="20"/>
        <w:szCs w:val="20"/>
      </w:rPr>
      <w:tblPr/>
      <w:tcPr>
        <w:tcBorders>
          <w:top w:val="nil"/>
          <w:bottom w:val="single" w:sz="8" w:space="0" w:color="4F81BD" w:themeColor="accent1"/>
        </w:tcBorders>
      </w:tcPr>
    </w:tblStylePr>
    <w:tblStylePr w:type="lastRow">
      <w:rPr>
        <w:b/>
        <w:bCs/>
        <w:color w:val="1F497D" w:themeColor="text2"/>
        <w:rFonts w:ascii="Arial" w:hAnsi="Arial" w:eastAsia="Arial" w:cs="Arial"/>
        <w:sz w:val="20"/>
        <w:szCs w:val="20"/>
      </w:rPr>
      <w:tblPr/>
      <w:tcPr>
        <w:tcBorders>
          <w:top w:val="single" w:sz="8" w:space="0" w:color="4F81BD" w:themeColor="accent1"/>
          <w:bottom w:val="single" w:sz="8" w:space="0" w:color="4F81BD" w:themeColor="accent1"/>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C0504D" w:themeColor="accent2"/>
        <w:bottom w:val="single" w:sz="8" w:space="0" w:color="C0504D" w:themeColor="accent2"/>
      </w:tblBorders>
    </w:tblPr>
    <w:tblStylePr w:type="firstRow">
      <w:rPr>
        <w:rFonts w:ascii="Arial" w:hAnsi="Arial" w:eastAsia="Arial" w:cs="Arial"/>
        <w:sz w:val="20"/>
        <w:szCs w:val="20"/>
      </w:rPr>
      <w:tblPr/>
      <w:tcPr>
        <w:tcBorders>
          <w:top w:val="nil"/>
          <w:bottom w:val="single" w:sz="8" w:space="0" w:color="C0504D" w:themeColor="accent2"/>
        </w:tcBorders>
      </w:tcPr>
    </w:tblStylePr>
    <w:tblStylePr w:type="lastRow">
      <w:rPr>
        <w:b/>
        <w:bCs/>
        <w:color w:val="1F497D" w:themeColor="text2"/>
        <w:rFonts w:ascii="Arial" w:hAnsi="Arial" w:eastAsia="Arial" w:cs="Arial"/>
        <w:sz w:val="20"/>
        <w:szCs w:val="20"/>
      </w:rPr>
      <w:tblPr/>
      <w:tcPr>
        <w:tcBorders>
          <w:top w:val="single" w:sz="8" w:space="0" w:color="C0504D" w:themeColor="accent2"/>
          <w:bottom w:val="single" w:sz="8" w:space="0" w:color="C0504D" w:themeColor="accent2"/>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9BBB59" w:themeColor="accent3"/>
        <w:bottom w:val="single" w:sz="8" w:space="0" w:color="9BBB59" w:themeColor="accent3"/>
      </w:tblBorders>
    </w:tblPr>
    <w:tblStylePr w:type="firstRow">
      <w:rPr>
        <w:rFonts w:ascii="Arial" w:hAnsi="Arial" w:eastAsia="Arial" w:cs="Arial"/>
        <w:sz w:val="20"/>
        <w:szCs w:val="20"/>
      </w:rPr>
      <w:tblPr/>
      <w:tcPr>
        <w:tcBorders>
          <w:top w:val="nil"/>
          <w:bottom w:val="single" w:sz="8" w:space="0" w:color="9BBB59" w:themeColor="accent3"/>
        </w:tcBorders>
      </w:tcPr>
    </w:tblStylePr>
    <w:tblStylePr w:type="lastRow">
      <w:rPr>
        <w:b/>
        <w:bCs/>
        <w:color w:val="1F497D" w:themeColor="text2"/>
        <w:rFonts w:ascii="Arial" w:hAnsi="Arial" w:eastAsia="Arial" w:cs="Arial"/>
        <w:sz w:val="20"/>
        <w:szCs w:val="20"/>
      </w:rPr>
      <w:tblPr/>
      <w:tcPr>
        <w:tcBorders>
          <w:top w:val="single" w:sz="8" w:space="0" w:color="9BBB59" w:themeColor="accent3"/>
          <w:bottom w:val="single" w:sz="8" w:space="0" w:color="9BBB59" w:themeColor="accent3"/>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8064A2" w:themeColor="accent4"/>
        <w:bottom w:val="single" w:sz="8" w:space="0" w:color="8064A2" w:themeColor="accent4"/>
      </w:tblBorders>
    </w:tblPr>
    <w:tblStylePr w:type="firstRow">
      <w:rPr>
        <w:rFonts w:ascii="Arial" w:hAnsi="Arial" w:eastAsia="Arial" w:cs="Arial"/>
        <w:sz w:val="20"/>
        <w:szCs w:val="20"/>
      </w:rPr>
      <w:tblPr/>
      <w:tcPr>
        <w:tcBorders>
          <w:top w:val="nil"/>
          <w:bottom w:val="single" w:sz="8" w:space="0" w:color="8064A2" w:themeColor="accent4"/>
        </w:tcBorders>
      </w:tcPr>
    </w:tblStylePr>
    <w:tblStylePr w:type="lastRow">
      <w:rPr>
        <w:b/>
        <w:bCs/>
        <w:color w:val="1F497D" w:themeColor="text2"/>
        <w:rFonts w:ascii="Arial" w:hAnsi="Arial" w:eastAsia="Arial" w:cs="Arial"/>
        <w:sz w:val="20"/>
        <w:szCs w:val="20"/>
      </w:rPr>
      <w:tblPr/>
      <w:tcPr>
        <w:tcBorders>
          <w:top w:val="single" w:sz="8" w:space="0" w:color="8064A2" w:themeColor="accent4"/>
          <w:bottom w:val="single" w:sz="8" w:space="0" w:color="8064A2" w:themeColor="accent4"/>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4BACC6" w:themeColor="accent5"/>
        <w:bottom w:val="single" w:sz="8" w:space="0" w:color="4BACC6" w:themeColor="accent5"/>
      </w:tblBorders>
    </w:tblPr>
    <w:tblStylePr w:type="firstRow">
      <w:rPr>
        <w:rFonts w:ascii="Arial" w:hAnsi="Arial" w:eastAsia="Arial" w:cs="Arial"/>
        <w:sz w:val="20"/>
        <w:szCs w:val="20"/>
      </w:rPr>
      <w:tblPr/>
      <w:tcPr>
        <w:tcBorders>
          <w:top w:val="nil"/>
          <w:bottom w:val="single" w:sz="8" w:space="0" w:color="4BACC6" w:themeColor="accent5"/>
        </w:tcBorders>
      </w:tcPr>
    </w:tblStylePr>
    <w:tblStylePr w:type="lastRow">
      <w:rPr>
        <w:b/>
        <w:bCs/>
        <w:color w:val="1F497D" w:themeColor="text2"/>
        <w:rFonts w:ascii="Arial" w:hAnsi="Arial" w:eastAsia="Arial" w:cs="Arial"/>
        <w:sz w:val="20"/>
        <w:szCs w:val="20"/>
      </w:rPr>
      <w:tblPr/>
      <w:tcPr>
        <w:tcBorders>
          <w:top w:val="single" w:sz="8" w:space="0" w:color="4BACC6" w:themeColor="accent5"/>
          <w:bottom w:val="single" w:sz="8" w:space="0" w:color="4BACC6" w:themeColor="accent5"/>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F79646" w:themeColor="accent6"/>
        <w:bottom w:val="single" w:sz="8" w:space="0" w:color="F79646" w:themeColor="accent6"/>
      </w:tblBorders>
    </w:tblPr>
    <w:tblStylePr w:type="firstRow">
      <w:rPr>
        <w:rFonts w:ascii="Arial" w:hAnsi="Arial" w:eastAsia="Arial" w:cs="Arial"/>
        <w:sz w:val="20"/>
        <w:szCs w:val="20"/>
      </w:rPr>
      <w:tblPr/>
      <w:tcPr>
        <w:tcBorders>
          <w:top w:val="nil"/>
          <w:bottom w:val="single" w:sz="8" w:space="0" w:color="F79646" w:themeColor="accent6"/>
        </w:tcBorders>
      </w:tcPr>
    </w:tblStylePr>
    <w:tblStylePr w:type="lastRow">
      <w:rPr>
        <w:b/>
        <w:bCs/>
        <w:color w:val="1F497D" w:themeColor="text2"/>
        <w:rFonts w:ascii="Arial" w:hAnsi="Arial" w:eastAsia="Arial" w:cs="Arial"/>
        <w:sz w:val="20"/>
        <w:szCs w:val="20"/>
      </w:rPr>
      <w:tblPr/>
      <w:tcPr>
        <w:tcBorders>
          <w:top w:val="single" w:sz="8" w:space="0" w:color="F79646" w:themeColor="accent6"/>
          <w:bottom w:val="single" w:sz="8" w:space="0" w:color="F79646" w:themeColor="accent6"/>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0"/>
        <w:szCs w:val="20"/>
        <w:rFonts w:ascii="Arial" w:hAnsi="Arial" w:eastAsia="Arial" w:cs="Arial"/>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0"/>
        <w:szCs w:val="20"/>
        <w:rFonts w:ascii="Arial" w:hAnsi="Arial" w:eastAsia="Arial" w:cs="Arial"/>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0"/>
        <w:szCs w:val="20"/>
        <w:rFonts w:ascii="Arial" w:hAnsi="Arial" w:eastAsia="Arial" w:cs="Arial"/>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0"/>
        <w:szCs w:val="20"/>
        <w:rFonts w:ascii="Arial" w:hAnsi="Arial" w:eastAsia="Arial" w:cs="Arial"/>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0"/>
        <w:szCs w:val="20"/>
        <w:rFonts w:ascii="Arial" w:hAnsi="Arial" w:eastAsia="Arial" w:cs="Arial"/>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0"/>
        <w:szCs w:val="20"/>
        <w:rFonts w:ascii="Arial" w:hAnsi="Arial" w:eastAsia="Arial" w:cs="Arial"/>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0"/>
        <w:szCs w:val="20"/>
        <w:rFonts w:ascii="Arial" w:hAnsi="Arial" w:eastAsia="Arial" w:cs="Arial"/>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rPr>
      <w:rFonts w:ascii="Arial" w:hAnsi="Arial" w:eastAsia="Arial" w:cs="Arial"/>
      <w:sz w:val="20"/>
      <w:szCs w:val="20"/>
    </w:rPr>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404040" w:themeColor="text1"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rPr>
      <w:rFonts w:ascii="Arial" w:hAnsi="Arial" w:eastAsia="Arial" w:cs="Arial"/>
      <w:sz w:val="20"/>
      <w:szCs w:val="20"/>
    </w:rPr>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7BA0CD" w:themeColor="accent1"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rPr>
      <w:rFonts w:ascii="Arial" w:hAnsi="Arial" w:eastAsia="Arial" w:cs="Arial"/>
      <w:sz w:val="20"/>
      <w:szCs w:val="20"/>
    </w:rPr>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CF7B79" w:themeColor="accent2"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rPr>
      <w:rFonts w:ascii="Arial" w:hAnsi="Arial" w:eastAsia="Arial" w:cs="Arial"/>
      <w:sz w:val="20"/>
      <w:szCs w:val="20"/>
    </w:rPr>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B3CC82" w:themeColor="accent3"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rPr>
      <w:rFonts w:ascii="Arial" w:hAnsi="Arial" w:eastAsia="Arial" w:cs="Arial"/>
      <w:sz w:val="20"/>
      <w:szCs w:val="20"/>
    </w:rPr>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9F8AB9" w:themeColor="accent4"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rPr>
      <w:rFonts w:ascii="Arial" w:hAnsi="Arial" w:eastAsia="Arial" w:cs="Arial"/>
      <w:sz w:val="20"/>
      <w:szCs w:val="20"/>
    </w:rPr>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78C0D4" w:themeColor="accent5"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rPr>
      <w:rFonts w:ascii="Arial" w:hAnsi="Arial" w:eastAsia="Arial" w:cs="Arial"/>
      <w:sz w:val="20"/>
      <w:szCs w:val="20"/>
    </w:rPr>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F9B074" w:themeColor="accent6"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Fonts w:ascii="Arial" w:hAnsi="Arial" w:eastAsia="Arial" w:cs="Arial"/>
        <w:sz w:val="20"/>
        <w:szCs w:val="20"/>
      </w:rPr>
      <w:tblPr/>
      <w:tcPr>
        <w:shd w:val="clear" w:color="auto" w:fill="E6E6E6" w:themeFill="text1"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Fonts w:ascii="Arial" w:hAnsi="Arial" w:eastAsia="Arial" w:cs="Arial"/>
        <w:sz w:val="20"/>
        <w:szCs w:val="20"/>
      </w:rPr>
      <w:tblPr/>
      <w:tcPr>
        <w:shd w:val="clear" w:color="auto" w:fill="EDF2F8" w:themeFill="accent1"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Fonts w:ascii="Arial" w:hAnsi="Arial" w:eastAsia="Arial" w:cs="Arial"/>
        <w:sz w:val="20"/>
        <w:szCs w:val="20"/>
      </w:rPr>
      <w:tblPr/>
      <w:tcPr>
        <w:shd w:val="clear" w:color="auto" w:fill="F8EDED" w:themeFill="accent2"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Fonts w:ascii="Arial" w:hAnsi="Arial" w:eastAsia="Arial" w:cs="Arial"/>
        <w:sz w:val="20"/>
        <w:szCs w:val="20"/>
      </w:rPr>
      <w:tblPr/>
      <w:tcPr>
        <w:shd w:val="clear" w:color="auto" w:fill="F5F8EE" w:themeFill="accent3"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Fonts w:ascii="Arial" w:hAnsi="Arial" w:eastAsia="Arial" w:cs="Arial"/>
        <w:sz w:val="20"/>
        <w:szCs w:val="20"/>
      </w:rPr>
      <w:tblPr/>
      <w:tcPr>
        <w:shd w:val="clear" w:color="auto" w:fill="F2EFF6" w:themeFill="accent4"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Fonts w:ascii="Arial" w:hAnsi="Arial" w:eastAsia="Arial" w:cs="Arial"/>
        <w:sz w:val="20"/>
        <w:szCs w:val="20"/>
      </w:rPr>
      <w:tblPr/>
      <w:tcPr>
        <w:shd w:val="clear" w:color="auto" w:fill="EDF6F9" w:themeFill="accent5"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Fonts w:ascii="Arial" w:hAnsi="Arial" w:eastAsia="Arial" w:cs="Arial"/>
        <w:sz w:val="20"/>
        <w:szCs w:val="20"/>
      </w:rPr>
      <w:tblPr/>
      <w:tcPr>
        <w:shd w:val="clear" w:color="auto" w:fill="FEF4EC" w:themeFill="accent6"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rPr>
      <w:rFonts w:ascii="Arial" w:hAnsi="Arial" w:eastAsia="Arial" w:cs="Arial"/>
      <w:sz w:val="20"/>
      <w:szCs w:val="20"/>
    </w:rPr>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rPr>
      <w:rFonts w:ascii="Arial" w:hAnsi="Arial" w:eastAsia="Arial" w:cs="Arial"/>
      <w:sz w:val="20"/>
      <w:szCs w:val="20"/>
    </w:rPr>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rPr>
      <w:rFonts w:ascii="Arial" w:hAnsi="Arial" w:eastAsia="Arial" w:cs="Arial"/>
      <w:sz w:val="20"/>
      <w:szCs w:val="20"/>
    </w:rPr>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rPr>
      <w:rFonts w:ascii="Arial" w:hAnsi="Arial" w:eastAsia="Arial" w:cs="Arial"/>
      <w:sz w:val="20"/>
      <w:szCs w:val="20"/>
    </w:rPr>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rPr>
      <w:rFonts w:ascii="Arial" w:hAnsi="Arial" w:eastAsia="Arial" w:cs="Arial"/>
      <w:sz w:val="20"/>
      <w:szCs w:val="20"/>
    </w:rPr>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rPr>
      <w:rFonts w:ascii="Arial" w:hAnsi="Arial" w:eastAsia="Arial" w:cs="Arial"/>
      <w:sz w:val="20"/>
      <w:szCs w:val="20"/>
    </w:rPr>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rPr>
      <w:rFonts w:ascii="Arial" w:hAnsi="Arial" w:eastAsia="Arial" w:cs="Arial"/>
      <w:sz w:val="20"/>
      <w:szCs w:val="20"/>
    </w:rPr>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000000" w:themeFill="text1"/>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4F81BD" w:themeFill="accent1"/>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C0504D" w:themeFill="accent2"/>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9BBB59" w:themeFill="accent3"/>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8064A2" w:themeFill="accent4"/>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4BACC6" w:themeFill="accent5"/>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F79646" w:themeFill="accent6"/>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Fonts w:ascii="Arial" w:hAnsi="Arial" w:eastAsia="Arial" w:cs="Arial"/>
        <w:sz w:val="20"/>
        <w:szCs w:val="20"/>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000000" w:themeFill="text1"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1">
    <w:name w:val="Colorful Shading Accent 1"/>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Fonts w:ascii="Arial" w:hAnsi="Arial" w:eastAsia="Arial" w:cs="Arial"/>
        <w:sz w:val="20"/>
        <w:szCs w:val="20"/>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2C4C74" w:themeFill="accent1"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2">
    <w:name w:val="Colorful Shading Accent 2"/>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Fonts w:ascii="Arial" w:hAnsi="Arial" w:eastAsia="Arial" w:cs="Arial"/>
        <w:sz w:val="20"/>
        <w:szCs w:val="20"/>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772C2A" w:themeFill="accent2"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3">
    <w:name w:val="Colorful Shading Accent 3"/>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Fonts w:ascii="Arial" w:hAnsi="Arial" w:eastAsia="Arial" w:cs="Arial"/>
        <w:sz w:val="20"/>
        <w:szCs w:val="20"/>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5E7530" w:themeFill="accent3"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Fonts w:ascii="Arial" w:hAnsi="Arial" w:eastAsia="Arial" w:cs="Arial"/>
        <w:sz w:val="20"/>
        <w:szCs w:val="20"/>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4C3B62" w:themeFill="accent4"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5">
    <w:name w:val="Colorful Shading Accent 5"/>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Fonts w:ascii="Arial" w:hAnsi="Arial" w:eastAsia="Arial" w:cs="Arial"/>
        <w:sz w:val="20"/>
        <w:szCs w:val="20"/>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276A7C" w:themeFill="accent5"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6">
    <w:name w:val="Colorful Shading Accent 6"/>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Fonts w:ascii="Arial" w:hAnsi="Arial" w:eastAsia="Arial" w:cs="Arial"/>
        <w:sz w:val="20"/>
        <w:szCs w:val="20"/>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B65608" w:themeFill="accent6"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List">
    <w:name w:val="Colorful List"/>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E6E6E6" w:themeFill="text1"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EDF2F8" w:themeFill="accent1"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F8EDED" w:themeFill="accent2"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F5F8EE" w:themeFill="accent3"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F2EFF6" w:themeFill="accent4"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EDF6F9" w:themeFill="accent5"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FEF4EC" w:themeFill="accent6"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Fonts w:ascii="Arial" w:hAnsi="Arial" w:eastAsia="Arial" w:cs="Arial"/>
        <w:sz w:val="20"/>
        <w:szCs w:val="20"/>
      </w:rPr>
      <w:tblPr/>
      <w:tcPr>
        <w:shd w:val="clear" w:color="auto" w:fill="999999" w:themeFill="text1" w:themeFillTint="66"/>
      </w:tcPr>
    </w:tblStylePr>
    <w:tblStylePr w:type="lastRow">
      <w:rPr>
        <w:b/>
        <w:bCs/>
        <w:color w:val="000000" w:themeColor="text1"/>
        <w:rFonts w:ascii="Arial" w:hAnsi="Arial" w:eastAsia="Arial" w:cs="Arial"/>
        <w:sz w:val="20"/>
        <w:szCs w:val="20"/>
      </w:rPr>
      <w:tblPr/>
      <w:tcPr>
        <w:shd w:val="clear" w:color="auto" w:fill="999999" w:themeFill="text1" w:themeFillTint="66"/>
      </w:tcPr>
    </w:tblStylePr>
    <w:tblStylePr w:type="firstCol">
      <w:rPr>
        <w:color w:val="FFFFFF" w:themeColor="background1"/>
        <w:rFonts w:ascii="Arial" w:hAnsi="Arial" w:eastAsia="Arial" w:cs="Arial"/>
        <w:sz w:val="20"/>
        <w:szCs w:val="20"/>
      </w:rPr>
      <w:tblPr/>
      <w:tcPr>
        <w:shd w:val="clear" w:color="auto" w:fill="000000" w:themeFill="text1" w:themeFillShade="BF"/>
      </w:tcPr>
    </w:tblStylePr>
    <w:tblStylePr w:type="lastCol">
      <w:rPr>
        <w:color w:val="FFFFFF" w:themeColor="background1"/>
        <w:rFonts w:ascii="Arial" w:hAnsi="Arial" w:eastAsia="Arial" w:cs="Arial"/>
        <w:sz w:val="20"/>
        <w:szCs w:val="2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Fonts w:ascii="Arial" w:hAnsi="Arial" w:eastAsia="Arial" w:cs="Arial"/>
        <w:sz w:val="20"/>
        <w:szCs w:val="20"/>
      </w:rPr>
      <w:tblPr/>
      <w:tcPr>
        <w:shd w:val="clear" w:color="auto" w:fill="B8CCE4" w:themeFill="accent1" w:themeFillTint="66"/>
      </w:tcPr>
    </w:tblStylePr>
    <w:tblStylePr w:type="lastRow">
      <w:rPr>
        <w:b/>
        <w:bCs/>
        <w:color w:val="000000" w:themeColor="text1"/>
        <w:rFonts w:ascii="Arial" w:hAnsi="Arial" w:eastAsia="Arial" w:cs="Arial"/>
        <w:sz w:val="20"/>
        <w:szCs w:val="20"/>
      </w:rPr>
      <w:tblPr/>
      <w:tcPr>
        <w:shd w:val="clear" w:color="auto" w:fill="B8CCE4" w:themeFill="accent1" w:themeFillTint="66"/>
      </w:tcPr>
    </w:tblStylePr>
    <w:tblStylePr w:type="firstCol">
      <w:rPr>
        <w:color w:val="FFFFFF" w:themeColor="background1"/>
        <w:rFonts w:ascii="Arial" w:hAnsi="Arial" w:eastAsia="Arial" w:cs="Arial"/>
        <w:sz w:val="20"/>
        <w:szCs w:val="20"/>
      </w:rPr>
      <w:tblPr/>
      <w:tcPr>
        <w:shd w:val="clear" w:color="auto" w:fill="365F91" w:themeFill="accent1" w:themeFillShade="BF"/>
      </w:tcPr>
    </w:tblStylePr>
    <w:tblStylePr w:type="lastCol">
      <w:rPr>
        <w:color w:val="FFFFFF" w:themeColor="background1"/>
        <w:rFonts w:ascii="Arial" w:hAnsi="Arial" w:eastAsia="Arial" w:cs="Arial"/>
        <w:sz w:val="20"/>
        <w:szCs w:val="2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Fonts w:ascii="Arial" w:hAnsi="Arial" w:eastAsia="Arial" w:cs="Arial"/>
        <w:sz w:val="20"/>
        <w:szCs w:val="20"/>
      </w:rPr>
      <w:tblPr/>
      <w:tcPr>
        <w:shd w:val="clear" w:color="auto" w:fill="E5B8B7" w:themeFill="accent2" w:themeFillTint="66"/>
      </w:tcPr>
    </w:tblStylePr>
    <w:tblStylePr w:type="lastRow">
      <w:rPr>
        <w:b/>
        <w:bCs/>
        <w:color w:val="000000" w:themeColor="text1"/>
        <w:rFonts w:ascii="Arial" w:hAnsi="Arial" w:eastAsia="Arial" w:cs="Arial"/>
        <w:sz w:val="20"/>
        <w:szCs w:val="20"/>
      </w:rPr>
      <w:tblPr/>
      <w:tcPr>
        <w:shd w:val="clear" w:color="auto" w:fill="E5B8B7" w:themeFill="accent2" w:themeFillTint="66"/>
      </w:tcPr>
    </w:tblStylePr>
    <w:tblStylePr w:type="firstCol">
      <w:rPr>
        <w:color w:val="FFFFFF" w:themeColor="background1"/>
        <w:rFonts w:ascii="Arial" w:hAnsi="Arial" w:eastAsia="Arial" w:cs="Arial"/>
        <w:sz w:val="20"/>
        <w:szCs w:val="20"/>
      </w:rPr>
      <w:tblPr/>
      <w:tcPr>
        <w:shd w:val="clear" w:color="auto" w:fill="943634" w:themeFill="accent2" w:themeFillShade="BF"/>
      </w:tcPr>
    </w:tblStylePr>
    <w:tblStylePr w:type="lastCol">
      <w:rPr>
        <w:color w:val="FFFFFF" w:themeColor="background1"/>
        <w:rFonts w:ascii="Arial" w:hAnsi="Arial" w:eastAsia="Arial" w:cs="Arial"/>
        <w:sz w:val="20"/>
        <w:szCs w:val="2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Fonts w:ascii="Arial" w:hAnsi="Arial" w:eastAsia="Arial" w:cs="Arial"/>
        <w:sz w:val="20"/>
        <w:szCs w:val="20"/>
      </w:rPr>
      <w:tblPr/>
      <w:tcPr>
        <w:shd w:val="clear" w:color="auto" w:fill="D6E3BC" w:themeFill="accent3" w:themeFillTint="66"/>
      </w:tcPr>
    </w:tblStylePr>
    <w:tblStylePr w:type="lastRow">
      <w:rPr>
        <w:b/>
        <w:bCs/>
        <w:color w:val="000000" w:themeColor="text1"/>
        <w:rFonts w:ascii="Arial" w:hAnsi="Arial" w:eastAsia="Arial" w:cs="Arial"/>
        <w:sz w:val="20"/>
        <w:szCs w:val="20"/>
      </w:rPr>
      <w:tblPr/>
      <w:tcPr>
        <w:shd w:val="clear" w:color="auto" w:fill="D6E3BC" w:themeFill="accent3" w:themeFillTint="66"/>
      </w:tcPr>
    </w:tblStylePr>
    <w:tblStylePr w:type="firstCol">
      <w:rPr>
        <w:color w:val="FFFFFF" w:themeColor="background1"/>
        <w:rFonts w:ascii="Arial" w:hAnsi="Arial" w:eastAsia="Arial" w:cs="Arial"/>
        <w:sz w:val="20"/>
        <w:szCs w:val="20"/>
      </w:rPr>
      <w:tblPr/>
      <w:tcPr>
        <w:shd w:val="clear" w:color="auto" w:fill="76923C" w:themeFill="accent3" w:themeFillShade="BF"/>
      </w:tcPr>
    </w:tblStylePr>
    <w:tblStylePr w:type="lastCol">
      <w:rPr>
        <w:color w:val="FFFFFF" w:themeColor="background1"/>
        <w:rFonts w:ascii="Arial" w:hAnsi="Arial" w:eastAsia="Arial" w:cs="Arial"/>
        <w:sz w:val="20"/>
        <w:szCs w:val="2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Fonts w:ascii="Arial" w:hAnsi="Arial" w:eastAsia="Arial" w:cs="Arial"/>
        <w:sz w:val="20"/>
        <w:szCs w:val="20"/>
      </w:rPr>
      <w:tblPr/>
      <w:tcPr>
        <w:shd w:val="clear" w:color="auto" w:fill="CCC0D9" w:themeFill="accent4" w:themeFillTint="66"/>
      </w:tcPr>
    </w:tblStylePr>
    <w:tblStylePr w:type="lastRow">
      <w:rPr>
        <w:b/>
        <w:bCs/>
        <w:color w:val="000000" w:themeColor="text1"/>
        <w:rFonts w:ascii="Arial" w:hAnsi="Arial" w:eastAsia="Arial" w:cs="Arial"/>
        <w:sz w:val="20"/>
        <w:szCs w:val="20"/>
      </w:rPr>
      <w:tblPr/>
      <w:tcPr>
        <w:shd w:val="clear" w:color="auto" w:fill="CCC0D9" w:themeFill="accent4" w:themeFillTint="66"/>
      </w:tcPr>
    </w:tblStylePr>
    <w:tblStylePr w:type="firstCol">
      <w:rPr>
        <w:color w:val="FFFFFF" w:themeColor="background1"/>
        <w:rFonts w:ascii="Arial" w:hAnsi="Arial" w:eastAsia="Arial" w:cs="Arial"/>
        <w:sz w:val="20"/>
        <w:szCs w:val="20"/>
      </w:rPr>
      <w:tblPr/>
      <w:tcPr>
        <w:shd w:val="clear" w:color="auto" w:fill="5F497A" w:themeFill="accent4" w:themeFillShade="BF"/>
      </w:tcPr>
    </w:tblStylePr>
    <w:tblStylePr w:type="lastCol">
      <w:rPr>
        <w:color w:val="FFFFFF" w:themeColor="background1"/>
        <w:rFonts w:ascii="Arial" w:hAnsi="Arial" w:eastAsia="Arial" w:cs="Arial"/>
        <w:sz w:val="20"/>
        <w:szCs w:val="2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Fonts w:ascii="Arial" w:hAnsi="Arial" w:eastAsia="Arial" w:cs="Arial"/>
        <w:sz w:val="20"/>
        <w:szCs w:val="20"/>
      </w:rPr>
      <w:tblPr/>
      <w:tcPr>
        <w:shd w:val="clear" w:color="auto" w:fill="B6DDE8" w:themeFill="accent5" w:themeFillTint="66"/>
      </w:tcPr>
    </w:tblStylePr>
    <w:tblStylePr w:type="lastRow">
      <w:rPr>
        <w:b/>
        <w:bCs/>
        <w:color w:val="000000" w:themeColor="text1"/>
        <w:rFonts w:ascii="Arial" w:hAnsi="Arial" w:eastAsia="Arial" w:cs="Arial"/>
        <w:sz w:val="20"/>
        <w:szCs w:val="20"/>
      </w:rPr>
      <w:tblPr/>
      <w:tcPr>
        <w:shd w:val="clear" w:color="auto" w:fill="B6DDE8" w:themeFill="accent5" w:themeFillTint="66"/>
      </w:tcPr>
    </w:tblStylePr>
    <w:tblStylePr w:type="firstCol">
      <w:rPr>
        <w:color w:val="FFFFFF" w:themeColor="background1"/>
        <w:rFonts w:ascii="Arial" w:hAnsi="Arial" w:eastAsia="Arial" w:cs="Arial"/>
        <w:sz w:val="20"/>
        <w:szCs w:val="20"/>
      </w:rPr>
      <w:tblPr/>
      <w:tcPr>
        <w:shd w:val="clear" w:color="auto" w:fill="31849B" w:themeFill="accent5" w:themeFillShade="BF"/>
      </w:tcPr>
    </w:tblStylePr>
    <w:tblStylePr w:type="lastCol">
      <w:rPr>
        <w:color w:val="FFFFFF" w:themeColor="background1"/>
        <w:rFonts w:ascii="Arial" w:hAnsi="Arial" w:eastAsia="Arial" w:cs="Arial"/>
        <w:sz w:val="20"/>
        <w:szCs w:val="2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Fonts w:ascii="Arial" w:hAnsi="Arial" w:eastAsia="Arial" w:cs="Arial"/>
        <w:sz w:val="20"/>
        <w:szCs w:val="20"/>
      </w:rPr>
      <w:tblPr/>
      <w:tcPr>
        <w:shd w:val="clear" w:color="auto" w:fill="FBD4B4" w:themeFill="accent6" w:themeFillTint="66"/>
      </w:tcPr>
    </w:tblStylePr>
    <w:tblStylePr w:type="lastRow">
      <w:rPr>
        <w:b/>
        <w:bCs/>
        <w:color w:val="000000" w:themeColor="text1"/>
        <w:rFonts w:ascii="Arial" w:hAnsi="Arial" w:eastAsia="Arial" w:cs="Arial"/>
        <w:sz w:val="20"/>
        <w:szCs w:val="20"/>
      </w:rPr>
      <w:tblPr/>
      <w:tcPr>
        <w:shd w:val="clear" w:color="auto" w:fill="FBD4B4" w:themeFill="accent6" w:themeFillTint="66"/>
      </w:tcPr>
    </w:tblStylePr>
    <w:tblStylePr w:type="firstCol">
      <w:rPr>
        <w:color w:val="FFFFFF" w:themeColor="background1"/>
        <w:rFonts w:ascii="Arial" w:hAnsi="Arial" w:eastAsia="Arial" w:cs="Arial"/>
        <w:sz w:val="20"/>
        <w:szCs w:val="20"/>
      </w:rPr>
      <w:tblPr/>
      <w:tcPr>
        <w:shd w:val="clear" w:color="auto" w:fill="E36C0A" w:themeFill="accent6" w:themeFillShade="BF"/>
      </w:tcPr>
    </w:tblStylePr>
    <w:tblStylePr w:type="lastCol">
      <w:rPr>
        <w:color w:val="FFFFFF" w:themeColor="background1"/>
        <w:rFonts w:ascii="Arial" w:hAnsi="Arial" w:eastAsia="Arial" w:cs="Arial"/>
        <w:sz w:val="20"/>
        <w:szCs w:val="2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FootnoteReference">
    <w:name w:val="footnote reference"/>
    <w:uiPriority w:val="99"/>
    <w:unhideWhenUsed/>
    <w:rsid w:val="008F64FC"/>
    <w:rPr>
      <w:vertAlign w:val="superscript"/>
      <w:rFonts w:ascii="Arial" w:hAnsi="Arial" w:eastAsia="Arial" w:cs="Arial"/>
      <w:sz w:val="20"/>
      <w:szCs w:val="20"/>
    </w:rPr>
  </w:style>
  <w:style w:type="paragraph" w:styleId="FootnoteText">
    <w:name w:val="footnote text"/>
    <w:basedOn w:val="Normal"/>
    <w:link w:val="FootnoteTextChar"/>
    <w:uiPriority w:val="99"/>
    <w:unhideWhenUsed/>
    <w:rsid w:val="008F64FC"/>
    <w:pPr>
      <w:spacing w:after="200" w:line="276" w:lineRule="auto"/>
    </w:pPr>
    <w:rPr>
      <w:rFonts w:ascii="Arial" w:hAnsi="Arial" w:eastAsia="Arial" w:cs="Arial"/>
      <w:color w:val="auto"/>
      <w:sz w:val="20"/>
      <w:szCs w:val="20"/>
      <w:lang w:val="en-NA" w:eastAsia="en-GB"/>
    </w:rPr>
  </w:style>
  <w:style w:type="character" w:customStyle="1" w:styleId="FootnoteTextChar">
    <w:name w:val="Footnote Text Char"/>
    <w:basedOn w:val="DefaultParagraphFont"/>
    <w:link w:val="FootnoteText"/>
    <w:uiPriority w:val="99"/>
    <w:rsid w:val="008F64FC"/>
    <w:rPr>
      <w:rFonts w:ascii="Arial" w:hAnsi="Arial" w:eastAsia="Arial" w:cs="Arial"/>
      <w:sz w:val="20"/>
      <w:szCs w:val="20"/>
      <w:lang w:val="en-NA" w:eastAsia="en-GB"/>
    </w:rPr>
  </w:style>
  <w:style w:type="paragraph" w:customStyle="1" w:styleId="Default">
    <w:name w:val="Default"/>
    <w:rsid w:val="008F64FC"/>
    <w:pPr>
      <w:autoSpaceDE w:val="0"/>
      <w:autoSpaceDN w:val="0"/>
      <w:adjustRightInd w:val="0"/>
      <w:spacing w:after="0" w:line="240" w:lineRule="auto"/>
    </w:pPr>
    <w:rPr>
      <w:rFonts w:ascii="Arial" w:hAnsi="Arial" w:eastAsia="Arial" w:cs="Arial"/>
      <w:color w:val="000000"/>
      <w:sz w:val="20"/>
      <w:szCs w:val="20"/>
      <w:lang w:val="en-NA"/>
    </w:rPr>
  </w:style>
  <w:style w:type="paragraph" w:customStyle="1" w:styleId="BodyA">
    <w:name w:val="Body A"/>
    <w:rsid w:val="00885E26"/>
    <w:pPr>
      <w:spacing w:after="100"/>
    </w:pPr>
    <w:rPr>
      <w:rFonts w:ascii="Arial" w:hAnsi="Arial" w:eastAsia="Arial" w:cs="Arial"/>
      <w:color w:val="000000"/>
      <w:sz w:val="20"/>
      <w:szCs w:val="20"/>
      <w:u w:color="000000"/>
    </w:rPr>
  </w:style>
  <w:style w:type="character" w:customStyle="1" w:styleId="None">
    <w:rPr>
      <w:rFonts w:ascii="Arial" w:hAnsi="Arial" w:eastAsia="Arial" w:cs="Arial"/>
      <w:sz w:val="20"/>
      <w:szCs w:val="20"/>
    </w:rPr>
    <w:name w:val="None"/>
    <w:rsid w:val="00885E26"/>
  </w:style>
  <w:style w:type="paragraph" w:customStyle="1" w:styleId="p1">
    <w:name w:val="p1"/>
    <w:basedOn w:val="Normal"/>
    <w:rsid w:val="00885E26"/>
    <w:pPr>
      <w:spacing w:after="0" w:line="240" w:lineRule="auto"/>
    </w:pPr>
    <w:rPr>
      <w:rFonts w:ascii="Arial" w:hAnsi="Arial" w:eastAsia="Arial" w:cs="Arial"/>
      <w:sz w:val="20"/>
      <w:szCs w:val="20"/>
      <w:lang w:val="en-NA"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hamberofmines.org.na/wp-content/uploads/2024/04/2023-Chamber-of-Mines-Annual-Review.-Final-Web.pdf" TargetMode="External"/><Relationship Id="rId21" Type="http://schemas.openxmlformats.org/officeDocument/2006/relationships/hyperlink" Target="https://unesdoc.unesco.org/ark:/48223/pf0000265552" TargetMode="External"/><Relationship Id="rId34" Type="http://schemas.openxmlformats.org/officeDocument/2006/relationships/hyperlink" Target="https://www.metso.com/globalassets/insights/ebooks/mo-basics-in-mineral-processing-handbook_lowres.pdf" TargetMode="External"/><Relationship Id="rId42" Type="http://schemas.openxmlformats.org/officeDocument/2006/relationships/hyperlink" Target="https://doi.org/10.3390/min11050533" TargetMode="External"/><Relationship Id="rId47" Type="http://schemas.openxmlformats.org/officeDocument/2006/relationships/hyperlink" Target="https://smemi.personifycloud.com/PersonifyEbusiness/Store/SME-Mineral-Processing--Extractive-Metallurgy-Handbook/ProductDetail/2829543" TargetMode="External"/><Relationship Id="rId50" Type="http://schemas.openxmlformats.org/officeDocument/2006/relationships/hyperlink" Target="https://www.iso.org/standard/83054.html" TargetMode="External"/><Relationship Id="rId55" Type="http://schemas.openxmlformats.org/officeDocument/2006/relationships/hyperlink" Target="https://doi.org/10.3390/min11050533" TargetMode="External"/><Relationship Id="rId63" Type="http://schemas.openxmlformats.org/officeDocument/2006/relationships/hyperlink" Target="https://www.mme.gov.na/files/publications/534_MIME%20SP%202025_26%20-%202029_30.pd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books.libreoffice.org/en/GS248/GS24800-Preface.html" TargetMode="External"/><Relationship Id="rId29" Type="http://schemas.openxmlformats.org/officeDocument/2006/relationships/hyperlink" Target="https://chamberofmines.org.na/wp-content/uploads/2024/04/2023-Chamber-of-Mines-Annual-Review.-Final-Web.pdf" TargetMode="External"/><Relationship Id="rId11" Type="http://schemas.openxmlformats.org/officeDocument/2006/relationships/hyperlink" Target="https://www.vanschaiknet.com/wp-content/uploads/2024/04/DIGITAL-CATALOGUE-2023.pdf" TargetMode="External"/><Relationship Id="rId24" Type="http://schemas.openxmlformats.org/officeDocument/2006/relationships/hyperlink" Target="https://the-eis.com/elibrary/sites/default/files/downloads/literature/Best%20Practice%20Guide%20in%20Mining%20Part%204_Mining%20and%20Processing%20Operations_2019.pdf" TargetMode="External"/><Relationship Id="rId32" Type="http://schemas.openxmlformats.org/officeDocument/2006/relationships/hyperlink" Target="https://hub.icmm.com/website/publications/pdfs/environmental-stewardship/2021/guidance_tailings-management.pdf" TargetMode="External"/><Relationship Id="rId37" Type="http://schemas.openxmlformats.org/officeDocument/2006/relationships/hyperlink" Target="https://the-eis.com/elibrary/sites/default/files/downloads/literature/Best%20Practice%20Guide%20in%20Mining%20Part%204_Mining%20and%20Processing%20Operations_2019.pdf" TargetMode="External"/><Relationship Id="rId40" Type="http://schemas.openxmlformats.org/officeDocument/2006/relationships/hyperlink" Target="https://www.metso.com/globalassets/insights/ebooks/mo-basics-in-mineral-processing-handbook_lowres.pdf" TargetMode="External"/><Relationship Id="rId45" Type="http://schemas.openxmlformats.org/officeDocument/2006/relationships/hyperlink" Target="https://hub.icmm.com/website/publications/pdfs/environmental-stewardship/2021/guidance_tailings-management.pdf" TargetMode="External"/><Relationship Id="rId53" Type="http://schemas.openxmlformats.org/officeDocument/2006/relationships/hyperlink" Target="https://smemi.personifycloud.com/PersonifyEbusiness/Store/SME-Mineral-Processing--Extractive-Metallurgy-Handbook/ProductDetail/2829543" TargetMode="External"/><Relationship Id="rId58" Type="http://schemas.openxmlformats.org/officeDocument/2006/relationships/hyperlink" Target="https://regqs.saqa.org.za/viewQualification.php?id=124365"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npc.gov.na/wp-content/uploads/2025/07/NDP6-Booklet.pdf" TargetMode="External"/><Relationship Id="rId19" Type="http://schemas.openxmlformats.org/officeDocument/2006/relationships/hyperlink" Target="https://www.mict.gov.na/documents/869282/1009163/National%2BCyberSecurity%2BStrategy%2Band%2B%2BAwareness%2BRaising%2BPlan%2B2022%2B-%2B2027%2B%2B13%2B10%2B22.pdf/ea059f22-173f-ad8f-47a3-eb29cd0a0ee1" TargetMode="External"/><Relationship Id="rId14" Type="http://schemas.openxmlformats.org/officeDocument/2006/relationships/hyperlink" Target="https://unesdoc.unesco.org/ark:/48223/pf0000265552" TargetMode="External"/><Relationship Id="rId22" Type="http://schemas.openxmlformats.org/officeDocument/2006/relationships/hyperlink" Target="https://www.metso.com/globalassets/insights/ebooks/mo-basics-in-mineral-processing-handbook_lowres.pdf" TargetMode="External"/><Relationship Id="rId27" Type="http://schemas.openxmlformats.org/officeDocument/2006/relationships/hyperlink" Target="https://www.ilo.org/resource/other/code-practice-safety-and-health-opencast-mines" TargetMode="External"/><Relationship Id="rId30" Type="http://schemas.openxmlformats.org/officeDocument/2006/relationships/hyperlink" Target="https://stacks.cdc.gov/view/cdc/76769" TargetMode="External"/><Relationship Id="rId35" Type="http://schemas.openxmlformats.org/officeDocument/2006/relationships/hyperlink" Target="https://smemi.personifycloud.com/PersonifyEbusiness/Store/SME-Mineral-Processing--Extractive-Metallurgy-Handbook/ProductDetail/2829543" TargetMode="External"/><Relationship Id="rId43" Type="http://schemas.openxmlformats.org/officeDocument/2006/relationships/hyperlink" Target="https://the-eis.com/elibrary/sites/default/files/downloads/literature/Best%20Practice%20Guide%20in%20Mining%20Part%204_Mining%20and%20Processing%20Operations_2019.pdf" TargetMode="External"/><Relationship Id="rId48" Type="http://schemas.openxmlformats.org/officeDocument/2006/relationships/hyperlink" Target="https://the-eis.com/elibrary/sites/default/files/downloads/literature/Best%20Practice%20Guide%20in%20Mining%20Part%204_Mining%20and%20Processing%20Operations_2019.pdf" TargetMode="External"/><Relationship Id="rId56" Type="http://schemas.openxmlformats.org/officeDocument/2006/relationships/hyperlink" Target="https://chamberofmines.org.na/wp-content/uploads/2024/04/2023-Chamber-of-Mines-Annual-Review.-Final-Web.pdf" TargetMode="External"/><Relationship Id="rId64" Type="http://schemas.openxmlformats.org/officeDocument/2006/relationships/hyperlink" Target="https://meft.gov.na/files/downloads/749_Enivronmental%20Management%20Act%202007.pdf" TargetMode="External"/><Relationship Id="rId8" Type="http://schemas.openxmlformats.org/officeDocument/2006/relationships/image" Target="media/image1.jpg"/><Relationship Id="rId51" Type="http://schemas.openxmlformats.org/officeDocument/2006/relationships/hyperlink" Target="https://stacks.cdc.gov/view/cdc/76769" TargetMode="External"/><Relationship Id="rId3" Type="http://schemas.openxmlformats.org/officeDocument/2006/relationships/styles" Target="styles.xml"/><Relationship Id="rId12" Type="http://schemas.openxmlformats.org/officeDocument/2006/relationships/hyperlink" Target="https://openlibrary-repo.ecampusontario.ca/jspui/bitstream/123456789/557/15/Communication-at-Work-1550774380._print.pdf" TargetMode="External"/><Relationship Id="rId17" Type="http://schemas.openxmlformats.org/officeDocument/2006/relationships/hyperlink" Target="https://www.unesco.org/en/articles/ai-competency-framework-students" TargetMode="External"/><Relationship Id="rId25" Type="http://schemas.openxmlformats.org/officeDocument/2006/relationships/hyperlink" Target="https://doi.org/10.3390/min11050533" TargetMode="External"/><Relationship Id="rId33" Type="http://schemas.openxmlformats.org/officeDocument/2006/relationships/hyperlink" Target="https://www.metso.com/globalassets/insights/ebooks/mo-basics-in-mineral-processing-handbook_lowres.pdf" TargetMode="External"/><Relationship Id="rId38" Type="http://schemas.openxmlformats.org/officeDocument/2006/relationships/hyperlink" Target="https://mdpi-res.com/bookfiles/book/4263/Comminution_in_the_Minerals_Industry.pdf?v=1737857030" TargetMode="External"/><Relationship Id="rId46" Type="http://schemas.openxmlformats.org/officeDocument/2006/relationships/hyperlink" Target="https://www.metso.com/globalassets/insights/ebooks/mo-basics-in-mineral-processing-handbook_lowres.pdf" TargetMode="External"/><Relationship Id="rId59" Type="http://schemas.openxmlformats.org/officeDocument/2006/relationships/hyperlink" Target="https://www.oranjemund-tc.com/page/about-us/" TargetMode="External"/><Relationship Id="rId20" Type="http://schemas.openxmlformats.org/officeDocument/2006/relationships/hyperlink" Target="https://www.gov.za/sites/default/files/gcis_document/202009/43730gen513.pdf" TargetMode="External"/><Relationship Id="rId41" Type="http://schemas.openxmlformats.org/officeDocument/2006/relationships/hyperlink" Target="https://smemi.personifycloud.com/PersonifyEbusiness/Store/SME-Mineral-Processing--Extractive-Metallurgy-Handbook/ProductDetail/2829543" TargetMode="External"/><Relationship Id="rId54" Type="http://schemas.openxmlformats.org/officeDocument/2006/relationships/hyperlink" Target="https://the-eis.com/elibrary/sites/default/files/downloads/literature/Best%20Practice%20Guide%20in%20Mining%20Part%204_Mining%20and%20Processing%20Operations_2019.pdf" TargetMode="External"/><Relationship Id="rId62" Type="http://schemas.openxmlformats.org/officeDocument/2006/relationships/hyperlink" Target="https://op.gov.na/documents/1697384/6465069/NDP6-Policy-Document.pdf/c4046436-f16c-ba9e-33d6-3263485e3522?t=1753189781465"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scielo.org.za/scielo.php?pid=S2957-79502025000300002&amp;script=sci_arttext" TargetMode="External"/><Relationship Id="rId23" Type="http://schemas.openxmlformats.org/officeDocument/2006/relationships/hyperlink" Target="https://smemi.personifycloud.com/PersonifyEbusiness/Store/SME-Mineral-Processing--Extractive-Metallurgy-Handbook/ProductDetail/2829543" TargetMode="External"/><Relationship Id="rId28" Type="http://schemas.openxmlformats.org/officeDocument/2006/relationships/hyperlink" Target="https://the-eis.com/elibrary/sites/default/files/downloads/literature/Best%20Practice%20Guide%20in%20Mining%20Part%204_Mining%20and%20Processing%20Operations_2019.pdf" TargetMode="External"/><Relationship Id="rId36" Type="http://schemas.openxmlformats.org/officeDocument/2006/relationships/hyperlink" Target="https://doi.org/10.3390/min11050533" TargetMode="External"/><Relationship Id="rId49" Type="http://schemas.openxmlformats.org/officeDocument/2006/relationships/hyperlink" Target="https://chamberofmines.org.na/wp-content/uploads/2024/04/2023-Chamber-of-Mines-Annual-Review.-Final-Web.pdf" TargetMode="External"/><Relationship Id="rId57" Type="http://schemas.openxmlformats.org/officeDocument/2006/relationships/hyperlink" Target="https://www.ilo.org/resource/other/code-practice-safety-and-health-opencast-mines" TargetMode="External"/><Relationship Id="rId10" Type="http://schemas.openxmlformats.org/officeDocument/2006/relationships/hyperlink" Target="https://www.vanschaiknet.com/catalogue/communicating-work/" TargetMode="External"/><Relationship Id="rId31" Type="http://schemas.openxmlformats.org/officeDocument/2006/relationships/hyperlink" Target="https://www.ilo.org/resource/other/code-practice-safety-and-health-opencast-mines" TargetMode="External"/><Relationship Id="rId44" Type="http://schemas.openxmlformats.org/officeDocument/2006/relationships/hyperlink" Target="https://chamberofmines.org.na/wp-content/uploads/2024/04/2023-Chamber-of-Mines-Annual-Review.-Final-Web.pdf" TargetMode="External"/><Relationship Id="rId52" Type="http://schemas.openxmlformats.org/officeDocument/2006/relationships/hyperlink" Target="https://www.metso.com/globalassets/insights/ebooks/mo-basics-in-mineral-processing-handbook_lowres.pdf" TargetMode="External"/><Relationship Id="rId60" Type="http://schemas.openxmlformats.org/officeDocument/2006/relationships/hyperlink" Target="https://www.npc.gov.na/wp-content/uploads/2021/11/vision_2030.pdf"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openstax.org/books/writing-guide/pages/1-unit-introduction" TargetMode="External"/><Relationship Id="rId18" Type="http://schemas.openxmlformats.org/officeDocument/2006/relationships/hyperlink" Target="https://www.unesco.org/en/articles/guidance-generative-ai-education-and-research" TargetMode="External"/><Relationship Id="rId39" Type="http://schemas.openxmlformats.org/officeDocument/2006/relationships/hyperlink" Target="https://stacks.cdc.gov/view/cdc/76769" TargetMode="External"/><Relationship Id="rId67" Type="http://schemas.openxmlformats.org/officeDocument/2006/relationships/hyperlink" Target="https://www.iso.org/standard/65694.html" TargetMode="External"/><Relationship Id="rId68" Type="http://schemas.openxmlformats.org/officeDocument/2006/relationships/hyperlink" Target="https://openstax.org/books/principles-management/pages/1-introduction" TargetMode="External"/><Relationship Id="rId69" Type="http://schemas.openxmlformats.org/officeDocument/2006/relationships/hyperlink" Target="https://www.labour.gov.za/DocumentCenter/Publications/Occupational%20Health%20and%20Safety/The%20Profile%20Occupational%20Health%20and%20Safety%20South%20Africa.pdf" TargetMode="External"/><Relationship Id="rId70" Type="http://schemas.openxmlformats.org/officeDocument/2006/relationships/hyperlink" Target="https://sajhrm.co.za/index.php/sajhrm/article/view/1705/2822" TargetMode="External"/><Relationship Id="rId71" Type="http://schemas.openxmlformats.org/officeDocument/2006/relationships/hyperlink" Target="https://www.vanschaiknet.com/catalogue/emerging-issues-in-operations-and-supply-chain-management/" TargetMode="External"/><Relationship Id="rId72" Type="http://schemas.openxmlformats.org/officeDocument/2006/relationships/hyperlink" Target="https://www.who.int/publications/i/item/9789240057944" TargetMode="External"/><Relationship Id="rId73" Type="http://schemas.openxmlformats.org/officeDocument/2006/relationships/hyperlink" Target="https://www.sciencedirect.com/science/article/abs/pii/S0301420722002227" TargetMode="External"/><Relationship Id="rId74" Type="http://schemas.openxmlformats.org/officeDocument/2006/relationships/hyperlink" Target="https://www.iso.org/standard/63787.html" TargetMode="External"/><Relationship Id="rId7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22</Pages>
  <Words>5479</Words>
  <Characters>31232</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Certificate in Mineral Processing Operations Level 4 Qualification Structure</vt:lpstr>
    </vt:vector>
  </TitlesOfParts>
  <Manager/>
  <Company/>
  <LinksUpToDate>false</LinksUpToDate>
  <CharactersWithSpaces>36638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Qualification Structure - Diploma in Mining Supervision and Leadership (Level 5)</dc:title>
  <dc:subject>Proposed qualification structure; not evidence of regulatory approval</dc:subject>
  <dc:creator>Oranjemund College</dc:creator>
  <cp:keywords>proposed; academic and industry validation; 80 credits; eight modules</cp:keywords>
  <dc:description>generated by python-docx</dc:description>
  <cp:lastModifiedBy>Oranjemund College</cp:lastModifiedBy>
  <cp:revision>19</cp:revision>
  <dcterms:created xsi:type="dcterms:W3CDTF">2013-12-23T23:15:00Z</dcterms:created>
  <dcterms:modified xsi:type="dcterms:W3CDTF">2026-10-28T21:56:00Z</dcterms:modified>
  <cp:category/>
</cp:coreProperties>
</file>