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A255F2" w14:textId="20CF6E46" w:rsidR="00C65B51" w:rsidRPr="008B6C93" w:rsidRDefault="00885E26">
      <w:pPr>
        <w:spacing w:before="0" w:after="120"/>
        <w:jc w:val="center"/>
        <w:rPr>
          <w:rFonts w:ascii="Arial" w:hAnsi="Arial" w:eastAsia="Arial" w:cs="Arial"/>
          <w:sz w:val="20"/>
          <w:szCs w:val="20"/>
        </w:rPr>
      </w:pPr>
      <w:r w:rsidRPr="008B6C93">
        <w:rPr>
          <w:rFonts w:ascii="Arial" w:hAnsi="Arial" w:eastAsia="Arial" w:cs="Arial"/>
          <w:noProof/>
          <w:sz w:val="20"/>
          <w:szCs w:val="20"/>
        </w:rPr>
        <w:drawing>
          <wp:inline distT="0" distB="0" distL="0" distR="0" wp14:anchorId="50C627BB" wp14:editId="3EA0226C">
            <wp:extent cx="1816100" cy="1816100"/>
            <wp:effectExtent l="0" t="0" r="0" b="0"/>
            <wp:docPr id="217480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80970" name=""/>
                    <pic:cNvPicPr/>
                  </pic:nvPicPr>
                  <pic:blipFill>
                    <a:blip r:embed="rId8"/>
                    <a:stretch>
                      <a:fillRect/>
                    </a:stretch>
                  </pic:blipFill>
                  <pic:spPr>
                    <a:xfrm>
                      <a:off x="0" y="0"/>
                      <a:ext cx="1816100" cy="1816100"/>
                    </a:xfrm>
                    <a:prstGeom prst="rect">
                      <a:avLst/>
                    </a:prstGeom>
                  </pic:spPr>
                </pic:pic>
              </a:graphicData>
            </a:graphic>
          </wp:inline>
        </w:drawing>
      </w:r>
    </w:p>
    <w:p w14:paraId="4DC8069F" w14:textId="73822B24" w:rsidR="00C65B51" w:rsidRPr="008B6C93" w:rsidRDefault="00000000">
      <w:pPr>
        <w:pStyle w:val="Title"/>
        <w:spacing w:before="0" w:after="120"/>
        <w:jc w:val="center"/>
        <w:rPr>
          <w:rFonts w:ascii="Arial" w:hAnsi="Arial" w:eastAsia="Arial" w:cs="Arial"/>
          <w:b w:val="0"/>
          <w:sz w:val="20"/>
          <w:szCs w:val="20"/>
        </w:rPr>
      </w:pPr>
      <w:r w:rsidRPr="008B6C93">
        <w:rPr>
          <w:rFonts w:ascii="Arial" w:hAnsi="Arial" w:eastAsia="Arial" w:cs="Arial"/>
          <w:b w:val="0"/>
          <w:sz w:val="20"/>
          <w:szCs w:val="20"/>
        </w:rPr>
        <w:t>Oranjemund College</w:t>
      </w:r>
    </w:p>
    <w:p w14:paraId="6805B60F" w14:textId="63BDF884" w:rsidR="008F64FC" w:rsidRPr="008B6C93" w:rsidRDefault="008F64FC" w:rsidP="008F64FC">
      <w:pPr>
        <w:spacing w:before="0" w:after="120"/>
        <w:jc w:val="center"/>
        <w:rPr>
          <w:rFonts w:ascii="Arial" w:hAnsi="Arial" w:eastAsia="Arial" w:cs="Arial"/>
          <w:sz w:val="20"/>
          <w:szCs w:val="20"/>
        </w:rPr>
      </w:pPr>
      <w:r>
        <w:rPr>
          <w:rFonts w:ascii="Arial" w:hAnsi="Arial" w:eastAsia="Arial" w:cs="Arial"/>
          <w:sz w:val="20"/>
          <w:szCs w:val="20"/>
        </w:rPr>
        <w:t>Diploma in Mine Environmental Management (Level 5)</w:t>
      </w:r>
    </w:p>
    <w:p w14:paraId="0DB2D636" w14:textId="77777777" w:rsidR="00C65B51" w:rsidRPr="008B6C93" w:rsidRDefault="00000000">
      <w:pPr>
        <w:pStyle w:val="Subtitle"/>
        <w:spacing w:before="0" w:after="120"/>
        <w:jc w:val="center"/>
        <w:rPr>
          <w:rFonts w:ascii="Arial" w:hAnsi="Arial" w:eastAsia="Arial" w:cs="Arial"/>
          <w:sz w:val="20"/>
          <w:szCs w:val="20"/>
        </w:rPr>
      </w:pPr>
      <w:r w:rsidRPr="008B6C93">
        <w:rPr>
          <w:rFonts w:ascii="Arial" w:hAnsi="Arial" w:eastAsia="Arial" w:cs="Arial"/>
          <w:sz w:val="20"/>
          <w:szCs w:val="20"/>
        </w:rPr>
        <w:t>Qualification Structure</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9"/>
        <w:gridCol w:w="2694"/>
        <w:gridCol w:w="2948"/>
      </w:tblGrid>
      <w:tr w:rsidR="008F64FC" w:rsidRPr="008B6C93" w14:paraId="1038B9DF" w14:textId="77777777" w:rsidTr="00373D14">
        <w:trPr/>
        <w:tc>
          <w:tcPr>
            <w:tcW w:w="9781" w:type="dxa"/>
            <w:gridSpan w:val="3"/>
            <w:tcBorders>
              <w:top w:val="single" w:sz="4" w:space="0" w:color="501549"/>
              <w:left w:val="single" w:sz="4" w:space="0" w:color="501549"/>
              <w:bottom w:val="single" w:sz="4" w:space="0" w:color="501549"/>
              <w:right w:val="single" w:sz="4" w:space="0" w:color="501549"/>
            </w:tcBorders>
            <w:vAlign w:val="top"/>
          </w:tcPr>
          <w:p>
            <w:pPr>
              <w:spacing w:before="40" w:after="40" w:line="240" w:lineRule="auto"/>
              <w:jc w:val="left"/>
            </w:pPr>
            <w:r>
              <w:rPr>
                <w:rFonts w:ascii="Arial" w:hAnsi="Arial" w:eastAsia="Arial" w:cs="Arial"/>
                <w:b w:val="0"/>
                <w:sz w:val="20"/>
                <w:szCs w:val="20"/>
              </w:rPr>
              <w:t>Diploma in Mine Environmental Management (Level 5)</w:t>
            </w:r>
          </w:p>
        </w:tc>
      </w:tr>
      <w:tr w:rsidR="008F64FC" w:rsidRPr="008B6C93" w14:paraId="372686C7" w14:textId="77777777" w:rsidTr="00373D14">
        <w:trPr/>
        <w:tc>
          <w:tcPr>
            <w:tcW w:w="4139" w:type="dxa"/>
            <w:tcBorders>
              <w:top w:val="single" w:sz="4" w:space="0" w:color="501549"/>
              <w:left w:val="nil"/>
              <w:bottom w:val="nil"/>
              <w:right w:val="nil"/>
            </w:tcBorders>
            <w:vAlign w:val="top"/>
          </w:tcPr>
          <w:p w14:paraId="6B3F5FEC"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c>
          <w:tcPr>
            <w:tcW w:w="2694" w:type="dxa"/>
            <w:tcBorders>
              <w:top w:val="single" w:sz="4" w:space="0" w:color="501549"/>
              <w:left w:val="nil"/>
              <w:bottom w:val="nil"/>
              <w:right w:val="nil"/>
            </w:tcBorders>
            <w:vAlign w:val="top"/>
          </w:tcPr>
          <w:p w14:paraId="794FDE9C"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c>
          <w:tcPr>
            <w:tcW w:w="2948" w:type="dxa"/>
            <w:tcBorders>
              <w:top w:val="single" w:sz="4" w:space="0" w:color="501549"/>
              <w:left w:val="nil"/>
              <w:bottom w:val="nil"/>
              <w:right w:val="nil"/>
            </w:tcBorders>
            <w:vAlign w:val="top"/>
          </w:tcPr>
          <w:p w14:paraId="081C0CDF"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r>
      <w:tr w:rsidR="008F64FC" w:rsidRPr="008B6C93" w14:paraId="6789A94B" w14:textId="77777777" w:rsidTr="00373D14">
        <w:trPr/>
        <w:tc>
          <w:tcPr>
            <w:tcW w:w="4139" w:type="dxa"/>
            <w:tcBorders>
              <w:top w:val="nil"/>
              <w:left w:val="nil"/>
              <w:bottom w:val="nil"/>
              <w:right w:val="nil"/>
            </w:tcBorders>
            <w:vAlign w:val="top"/>
          </w:tcPr>
          <w:p w14:paraId="5C0D49DF" w14:textId="77777777"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Field:</w:t>
            </w:r>
            <w:r w:rsidRPr="008B6C93">
              <w:rPr>
                <w:rStyle w:val="FootnoteReference"/>
                <w:rFonts w:ascii="Arial" w:hAnsi="Arial" w:eastAsia="Arial" w:cs="Arial"/>
                <w:sz w:val="20"/>
                <w:szCs w:val="20"/>
              </w:rPr>
              <w:footnoteReference w:id="1"/>
            </w:r>
            <w:r w:rsidRPr="008B6C93">
              <w:rPr>
                <w:rFonts w:ascii="Arial" w:hAnsi="Arial" w:eastAsia="Arial" w:cs="Arial"/>
                <w:sz w:val="20"/>
                <w:szCs w:val="20"/>
              </w:rPr>
              <w:t xml:space="preserve"> </w:t>
            </w:r>
            <w:r w:rsidRPr="008B6C93">
              <w:rPr>
                <w:rFonts w:ascii="Arial" w:hAnsi="Arial" w:eastAsia="Arial" w:cs="Arial"/>
                <w:sz w:val="20"/>
                <w:szCs w:val="20"/>
              </w:rPr>
              <w:tab/>
            </w:r>
          </w:p>
        </w:tc>
        <w:tc>
          <w:tcPr>
            <w:tcW w:w="5642" w:type="dxa"/>
            <w:gridSpan w:val="2"/>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Agriculture and Nature Conservation</w:t>
            </w:r>
          </w:p>
        </w:tc>
      </w:tr>
      <w:tr w:rsidR="008F64FC" w:rsidRPr="008B6C93" w14:paraId="196F940D" w14:textId="77777777" w:rsidTr="00373D14">
        <w:trPr/>
        <w:tc>
          <w:tcPr>
            <w:tcW w:w="4139" w:type="dxa"/>
            <w:tcBorders>
              <w:top w:val="nil"/>
              <w:left w:val="nil"/>
              <w:bottom w:val="nil"/>
              <w:right w:val="nil"/>
            </w:tcBorders>
            <w:vAlign w:val="top"/>
          </w:tcPr>
          <w:p w14:paraId="27309244" w14:textId="77777777"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Qualification Code:</w:t>
            </w:r>
            <w:r w:rsidRPr="008B6C93">
              <w:rPr>
                <w:rStyle w:val="FootnoteReference"/>
                <w:rFonts w:ascii="Arial" w:hAnsi="Arial" w:eastAsia="Arial" w:cs="Arial"/>
                <w:sz w:val="20"/>
                <w:szCs w:val="20"/>
              </w:rPr>
              <w:footnoteReference w:id="2"/>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OCOL-5023</w:t>
            </w:r>
          </w:p>
        </w:tc>
        <w:tc>
          <w:tcPr>
            <w:tcW w:w="2948" w:type="dxa"/>
            <w:tcBorders>
              <w:top w:val="nil"/>
              <w:left w:val="nil"/>
              <w:bottom w:val="nil"/>
              <w:right w:val="nil"/>
            </w:tcBorders>
            <w:vAlign w:val="top"/>
          </w:tcPr>
          <w:p w14:paraId="6A56A7C8" w14:textId="77777777" w:rsidR="008F64FC" w:rsidRPr="008B6C93" w:rsidRDefault="008F64FC" w:rsidP="00091C17">
            <w:pPr>
              <w:tabs>
                <w:tab w:val="left" w:pos="3970"/>
                <w:tab w:val="left" w:pos="6237"/>
              </w:tabs>
              <w:spacing w:line="240" w:lineRule="auto" w:before="40" w:after="40"/>
              <w:contextualSpacing/>
              <w:jc w:val="both"/>
              <w:rPr>
                <w:rFonts w:ascii="Arial" w:hAnsi="Arial" w:eastAsia="Arial" w:cs="Arial"/>
                <w:sz w:val="20"/>
                <w:szCs w:val="20"/>
              </w:rPr>
            </w:pPr>
          </w:p>
        </w:tc>
      </w:tr>
      <w:tr w:rsidR="008F64FC" w:rsidRPr="008B6C93" w14:paraId="0A0C7629" w14:textId="77777777" w:rsidTr="00373D14">
        <w:trPr/>
        <w:tc>
          <w:tcPr>
            <w:tcW w:w="4139" w:type="dxa"/>
            <w:tcBorders>
              <w:top w:val="nil"/>
              <w:left w:val="nil"/>
              <w:bottom w:val="nil"/>
              <w:right w:val="nil"/>
            </w:tcBorders>
            <w:vAlign w:val="top"/>
          </w:tcPr>
          <w:p w14:paraId="7E59DD18" w14:textId="6EFE09AC"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NQF registration ID:</w:t>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Not yet assigned</w:t>
            </w:r>
          </w:p>
        </w:tc>
        <w:tc>
          <w:tcPr>
            <w:tcW w:w="2948" w:type="dxa"/>
            <w:tcBorders>
              <w:top w:val="nil"/>
              <w:left w:val="nil"/>
              <w:bottom w:val="nil"/>
              <w:right w:val="nil"/>
            </w:tcBorders>
            <w:vAlign w:val="top"/>
          </w:tcPr>
          <w:p w14:paraId="53B60C8E" w14:textId="77777777" w:rsidR="008F64FC" w:rsidRPr="008B6C93" w:rsidRDefault="008F64FC" w:rsidP="00091C17">
            <w:pPr>
              <w:tabs>
                <w:tab w:val="left" w:pos="3970"/>
                <w:tab w:val="left" w:pos="6237"/>
              </w:tabs>
              <w:spacing w:line="240" w:lineRule="auto" w:before="40" w:after="40"/>
              <w:contextualSpacing/>
              <w:jc w:val="both"/>
              <w:rPr>
                <w:rFonts w:ascii="Arial" w:hAnsi="Arial" w:eastAsia="Arial" w:cs="Arial"/>
                <w:sz w:val="20"/>
                <w:szCs w:val="20"/>
              </w:rPr>
            </w:pPr>
          </w:p>
        </w:tc>
      </w:tr>
      <w:tr w:rsidR="008F64FC" w:rsidRPr="008B6C93" w14:paraId="7AB93721" w14:textId="77777777" w:rsidTr="00373D14">
        <w:trPr/>
        <w:tc>
          <w:tcPr>
            <w:tcW w:w="4139" w:type="dxa"/>
            <w:tcBorders>
              <w:top w:val="nil"/>
              <w:left w:val="nil"/>
              <w:bottom w:val="nil"/>
              <w:right w:val="nil"/>
            </w:tcBorders>
            <w:vAlign w:val="top"/>
          </w:tcPr>
          <w:p w14:paraId="1673DA21" w14:textId="554FBF36"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Duration and delivery</w:t>
            </w:r>
          </w:p>
        </w:tc>
        <w:tc>
          <w:tcPr>
            <w:tcW w:w="5642" w:type="dxa"/>
            <w:gridSpan w:val="2"/>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Full-time: one academic year, two semesters. Part-time: extended calendar with the same 120 credits and 1,200 notional hours. Full-time, part-time or blended delivery. Online teaching may support suitable learning; assessed practical and simulation activities remain supervised.</w:t>
            </w:r>
          </w:p>
        </w:tc>
      </w:tr>
      <w:tr w:rsidR="008F64FC" w:rsidRPr="008B6C93" w14:paraId="0125F763" w14:textId="77777777" w:rsidTr="00373D14">
        <w:trPr/>
        <w:tc>
          <w:tcPr>
            <w:tcW w:w="4139" w:type="dxa"/>
            <w:tcBorders>
              <w:top w:val="nil"/>
              <w:left w:val="nil"/>
              <w:bottom w:val="nil"/>
              <w:right w:val="nil"/>
            </w:tcBorders>
            <w:vAlign w:val="top"/>
          </w:tcPr>
          <w:p w14:paraId="2E84EDDE" w14:textId="3BB53686"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Campus</w:t>
            </w:r>
          </w:p>
        </w:tc>
        <w:tc>
          <w:tcPr>
            <w:tcW w:w="5642" w:type="dxa"/>
            <w:gridSpan w:val="2"/>
            <w:tcBorders>
              <w:top w:val="nil"/>
              <w:left w:val="nil"/>
              <w:bottom w:val="nil"/>
              <w:right w:val="nil"/>
            </w:tcBorders>
            <w:vAlign w:val="top"/>
          </w:tcPr>
          <w:p w14:paraId="4C58AE5D" w14:textId="59348FDF" w:rsidR="008F64FC" w:rsidRPr="008B6C93" w:rsidRDefault="008F64FC" w:rsidP="00091C17">
            <w:pPr>
              <w:spacing w:before="40" w:after="40" w:line="240" w:lineRule="auto"/>
              <w:jc w:val="both"/>
              <w:rPr>
                <w:rFonts w:ascii="Arial" w:hAnsi="Arial" w:eastAsia="Arial" w:cs="Arial"/>
                <w:sz w:val="20"/>
                <w:szCs w:val="20"/>
              </w:rPr>
            </w:pPr>
            <w:r w:rsidRPr="008B6C93">
              <w:rPr>
                <w:rFonts w:ascii="Arial" w:hAnsi="Arial" w:eastAsia="Arial" w:cs="Arial"/>
                <w:sz w:val="20"/>
                <w:szCs w:val="20"/>
              </w:rPr>
              <w:t>Oranjemund, //Kharas Region, Namibia</w:t>
            </w:r>
          </w:p>
        </w:tc>
      </w:tr>
      <w:tr w:rsidR="008F64FC" w:rsidRPr="008B6C93" w14:paraId="62551673" w14:textId="77777777" w:rsidTr="00373D14">
        <w:trPr/>
        <w:tc>
          <w:tcPr>
            <w:tcW w:w="4139" w:type="dxa"/>
            <w:tcBorders>
              <w:top w:val="nil"/>
              <w:left w:val="nil"/>
              <w:bottom w:val="nil"/>
              <w:right w:val="nil"/>
            </w:tcBorders>
            <w:vAlign w:val="top"/>
          </w:tcPr>
          <w:p w14:paraId="688F7BE1"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Level of qualification:</w:t>
            </w:r>
            <w:r w:rsidRPr="008B6C93">
              <w:rPr>
                <w:rStyle w:val="FootnoteReference"/>
                <w:rFonts w:ascii="Arial" w:hAnsi="Arial" w:eastAsia="Arial" w:cs="Arial"/>
                <w:sz w:val="20"/>
                <w:szCs w:val="20"/>
              </w:rPr>
              <w:footnoteReference w:id="3"/>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5</w:t>
            </w:r>
          </w:p>
        </w:tc>
        <w:tc>
          <w:tcPr>
            <w:tcW w:w="2948" w:type="dxa"/>
            <w:tcBorders>
              <w:top w:val="nil"/>
              <w:left w:val="nil"/>
              <w:bottom w:val="nil"/>
              <w:right w:val="nil"/>
            </w:tcBorders>
            <w:vAlign w:val="top"/>
          </w:tcPr>
          <w:p w14:paraId="33CD341D"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266D0A72" w14:textId="77777777" w:rsidTr="00373D14">
        <w:trPr/>
        <w:tc>
          <w:tcPr>
            <w:tcW w:w="4139" w:type="dxa"/>
            <w:tcBorders>
              <w:top w:val="nil"/>
              <w:left w:val="nil"/>
              <w:bottom w:val="nil"/>
              <w:right w:val="nil"/>
            </w:tcBorders>
            <w:vAlign w:val="top"/>
          </w:tcPr>
          <w:p w14:paraId="754B126A"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Total credits available:</w:t>
            </w:r>
            <w:r w:rsidRPr="008B6C93">
              <w:rPr>
                <w:rStyle w:val="FootnoteReference"/>
                <w:rFonts w:ascii="Arial" w:hAnsi="Arial" w:eastAsia="Arial" w:cs="Arial"/>
                <w:sz w:val="20"/>
                <w:szCs w:val="20"/>
              </w:rPr>
              <w:footnoteReference w:id="4"/>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120</w:t>
            </w:r>
          </w:p>
        </w:tc>
        <w:tc>
          <w:tcPr>
            <w:tcW w:w="2948" w:type="dxa"/>
            <w:tcBorders>
              <w:top w:val="nil"/>
              <w:left w:val="nil"/>
              <w:bottom w:val="nil"/>
              <w:right w:val="nil"/>
            </w:tcBorders>
            <w:vAlign w:val="top"/>
          </w:tcPr>
          <w:p w14:paraId="2FBDFBAE"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102BBC9A" w14:textId="77777777" w:rsidTr="00373D14">
        <w:trPr/>
        <w:tc>
          <w:tcPr>
            <w:tcW w:w="4139" w:type="dxa"/>
            <w:tcBorders>
              <w:top w:val="nil"/>
              <w:left w:val="nil"/>
              <w:bottom w:val="nil"/>
              <w:right w:val="nil"/>
            </w:tcBorders>
            <w:vAlign w:val="top"/>
          </w:tcPr>
          <w:p w14:paraId="40366EC9"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Total credits required:</w:t>
            </w:r>
            <w:r w:rsidRPr="008B6C93">
              <w:rPr>
                <w:rStyle w:val="FootnoteReference"/>
                <w:rFonts w:ascii="Arial" w:hAnsi="Arial" w:eastAsia="Arial" w:cs="Arial"/>
                <w:sz w:val="20"/>
                <w:szCs w:val="20"/>
              </w:rPr>
              <w:footnoteReference w:id="5"/>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120</w:t>
            </w:r>
          </w:p>
        </w:tc>
        <w:tc>
          <w:tcPr>
            <w:tcW w:w="2948" w:type="dxa"/>
            <w:tcBorders>
              <w:top w:val="nil"/>
              <w:left w:val="nil"/>
              <w:bottom w:val="nil"/>
              <w:right w:val="nil"/>
            </w:tcBorders>
            <w:vAlign w:val="top"/>
          </w:tcPr>
          <w:p w14:paraId="07E25035"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50774F81" w14:textId="77777777" w:rsidTr="00373D14">
        <w:trPr/>
        <w:tc>
          <w:tcPr>
            <w:tcW w:w="4139" w:type="dxa"/>
            <w:tcBorders>
              <w:top w:val="nil"/>
              <w:left w:val="nil"/>
              <w:bottom w:val="nil"/>
              <w:right w:val="nil"/>
            </w:tcBorders>
            <w:vAlign w:val="top"/>
          </w:tcPr>
          <w:p w14:paraId="78EF2504"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c>
          <w:tcPr>
            <w:tcW w:w="2694" w:type="dxa"/>
            <w:tcBorders>
              <w:top w:val="nil"/>
              <w:left w:val="nil"/>
              <w:bottom w:val="single" w:sz="4" w:space="0" w:color="auto"/>
              <w:right w:val="nil"/>
            </w:tcBorders>
            <w:vAlign w:val="top"/>
          </w:tcPr>
          <w:p w14:paraId="096C0D8B"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c>
          <w:tcPr>
            <w:tcW w:w="2948" w:type="dxa"/>
            <w:tcBorders>
              <w:top w:val="nil"/>
              <w:left w:val="nil"/>
              <w:bottom w:val="single" w:sz="4" w:space="0" w:color="auto"/>
              <w:right w:val="nil"/>
            </w:tcBorders>
            <w:vAlign w:val="top"/>
          </w:tcPr>
          <w:p w14:paraId="11504BC4"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r>
      <w:tr w:rsidR="008F64FC" w:rsidRPr="008B6C93" w14:paraId="70229A20" w14:textId="77777777" w:rsidTr="00373D14">
        <w:trPr/>
        <w:tc>
          <w:tcPr>
            <w:tcW w:w="4139" w:type="dxa"/>
            <w:tcBorders>
              <w:top w:val="nil"/>
              <w:left w:val="nil"/>
            </w:tcBorders>
            <w:vAlign w:val="top"/>
          </w:tcPr>
          <w:p w14:paraId="0C31F5A3"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p>
        </w:tc>
        <w:tc>
          <w:tcPr>
            <w:tcW w:w="2694" w:type="dxa"/>
            <w:tcBorders>
              <w:top w:val="single" w:sz="4" w:space="0" w:color="auto"/>
            </w:tcBorders>
            <w:vAlign w:val="top"/>
          </w:tcPr>
          <w:p w14:paraId="73A925A9"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Compulsory</w:t>
            </w:r>
          </w:p>
        </w:tc>
        <w:tc>
          <w:tcPr>
            <w:tcW w:w="2948" w:type="dxa"/>
            <w:tcBorders>
              <w:top w:val="single" w:sz="4" w:space="0" w:color="auto"/>
            </w:tcBorders>
            <w:vAlign w:val="top"/>
          </w:tcPr>
          <w:p w14:paraId="3B16AE1E"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Elective</w:t>
            </w:r>
          </w:p>
        </w:tc>
      </w:tr>
      <w:tr w:rsidR="008F64FC" w:rsidRPr="008B6C93" w14:paraId="719BA1F4" w14:textId="77777777" w:rsidTr="00373D14">
        <w:trPr/>
        <w:tc>
          <w:tcPr>
            <w:tcW w:w="4139" w:type="dxa"/>
            <w:vAlign w:val="top"/>
          </w:tcPr>
          <w:p>
            <w:pPr>
              <w:spacing w:before="40" w:after="40" w:line="240" w:lineRule="auto"/>
              <w:jc w:val="left"/>
            </w:pPr>
            <w:r>
              <w:rPr>
                <w:rFonts w:ascii="Arial" w:hAnsi="Arial" w:eastAsia="Arial" w:cs="Arial"/>
                <w:b w:val="0"/>
                <w:sz w:val="20"/>
                <w:szCs w:val="20"/>
              </w:rPr>
              <w:t>Level 5 credits:</w:t>
            </w:r>
          </w:p>
        </w:tc>
        <w:tc>
          <w:tcPr>
            <w:tcW w:w="2694" w:type="dxa"/>
            <w:vAlign w:val="top"/>
          </w:tcPr>
          <w:p>
            <w:pPr>
              <w:spacing w:before="40" w:after="40" w:line="240" w:lineRule="auto"/>
              <w:jc w:val="left"/>
            </w:pPr>
            <w:r>
              <w:rPr>
                <w:rFonts w:ascii="Arial" w:hAnsi="Arial" w:eastAsia="Arial" w:cs="Arial"/>
                <w:b w:val="0"/>
                <w:sz w:val="20"/>
                <w:szCs w:val="20"/>
              </w:rPr>
              <w:t>120</w:t>
            </w:r>
          </w:p>
        </w:tc>
        <w:tc>
          <w:tcPr>
            <w:tcW w:w="2948" w:type="dxa"/>
            <w:vAlign w:val="top"/>
          </w:tcPr>
          <w:p w14:paraId="7D744C2F"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w:t>
            </w:r>
          </w:p>
        </w:tc>
      </w:tr>
      <w:tr w:rsidR="008F64FC" w:rsidRPr="008B6C93" w14:paraId="4CC2FF3A" w14:textId="77777777" w:rsidTr="00373D14">
        <w:trPr/>
        <w:tc>
          <w:tcPr>
            <w:tcW w:w="4139" w:type="dxa"/>
            <w:vAlign w:val="top"/>
          </w:tcPr>
          <w:p w14:paraId="7AA109A5" w14:textId="77777777" w:rsidR="008F64FC" w:rsidRPr="008B6C93" w:rsidRDefault="008F64FC" w:rsidP="008F64FC">
            <w:pPr>
              <w:tabs>
                <w:tab w:val="left" w:pos="3970"/>
                <w:tab w:val="left" w:pos="6237"/>
              </w:tabs>
              <w:spacing w:line="240" w:lineRule="auto" w:before="40" w:after="40"/>
              <w:contextualSpacing/>
              <w:jc w:val="both"/>
              <w:rPr>
                <w:rFonts w:ascii="Arial" w:hAnsi="Arial" w:eastAsia="Arial" w:cs="Arial"/>
                <w:sz w:val="20"/>
                <w:szCs w:val="20"/>
              </w:rPr>
            </w:pPr>
            <w:r w:rsidRPr="008B6C93">
              <w:rPr>
                <w:rFonts w:ascii="Arial" w:hAnsi="Arial" w:eastAsia="Arial" w:cs="Arial"/>
                <w:sz w:val="20"/>
                <w:szCs w:val="20"/>
              </w:rPr>
              <w:t>Minimum total credits required:</w:t>
            </w:r>
          </w:p>
        </w:tc>
        <w:tc>
          <w:tcPr>
            <w:tcW w:w="2694" w:type="dxa"/>
            <w:vAlign w:val="top"/>
          </w:tcPr>
          <w:p>
            <w:pPr>
              <w:spacing w:before="40" w:after="40" w:line="240" w:lineRule="auto"/>
              <w:jc w:val="left"/>
            </w:pPr>
            <w:r>
              <w:rPr>
                <w:rFonts w:ascii="Arial" w:hAnsi="Arial" w:eastAsia="Arial" w:cs="Arial"/>
                <w:b w:val="0"/>
                <w:sz w:val="20"/>
                <w:szCs w:val="20"/>
              </w:rPr>
              <w:t>120</w:t>
            </w:r>
          </w:p>
        </w:tc>
        <w:tc>
          <w:tcPr>
            <w:tcW w:w="2948" w:type="dxa"/>
            <w:vAlign w:val="top"/>
          </w:tcPr>
          <w:p w14:paraId="72449989"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w:t>
            </w:r>
          </w:p>
        </w:tc>
      </w:tr>
    </w:tbl>
    <w:p w14:paraId="0F921D54" w14:textId="77777777" w:rsidR="00885E26" w:rsidRPr="008B6C93" w:rsidRDefault="00885E26" w:rsidP="00373D14">
      <w:pPr>
        <w:pageBreakBefore/>
        <w:spacing w:before="0" w:after="120"/>
        <w:ind w:left="284"/>
        <w:contextualSpacing/>
        <w:rPr>
          <w:rFonts w:ascii="Arial" w:hAnsi="Arial" w:eastAsia="Arial" w:cs="Arial"/>
          <w:sz w:val="20"/>
          <w:szCs w:val="20"/>
        </w:rPr>
      </w:pPr>
      <w:r w:rsidRPr="008B6C93">
        <w:rPr>
          <w:rFonts w:ascii="Arial" w:hAnsi="Arial" w:eastAsia="Arial" w:cs="Arial"/>
          <w:b/>
          <w:bCs/>
          <w:sz w:val="20"/>
          <w:szCs w:val="20"/>
        </w:rPr>
        <w:t>Qualification Structure</w:t>
      </w:r>
      <w:r w:rsidRPr="008B6C93">
        <w:rPr>
          <w:rStyle w:val="FootnoteReference"/>
          <w:rFonts w:ascii="Arial" w:hAnsi="Arial" w:eastAsia="Arial" w:cs="Arial"/>
          <w:sz w:val="20"/>
          <w:szCs w:val="20"/>
        </w:rPr>
        <w:footnoteReference w:id="6"/>
      </w:r>
    </w:p>
    <w:tbl>
      <w:tblPr>
        <w:tblW w:w="9781" w:type="dxa"/>
        <w:tblInd w:w="39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446"/>
        <w:gridCol w:w="5783"/>
        <w:gridCol w:w="992"/>
        <w:gridCol w:w="993"/>
      </w:tblGrid>
      <w:tr w:rsidR="00885E26" w:rsidRPr="008B6C93" w14:paraId="05DAF36E" w14:textId="77777777" w:rsidTr="00373D14">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70FE0492"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446" w:type="dxa"/>
            <w:tcBorders>
              <w:top w:val="single" w:sz="4" w:space="0" w:color="000000"/>
              <w:left w:val="single" w:sz="4" w:space="0" w:color="000000"/>
              <w:bottom w:val="single" w:sz="4" w:space="0" w:color="000000"/>
              <w:right w:val="single" w:sz="4" w:space="0" w:color="000000"/>
            </w:tcBorders>
            <w:shd w:val="clear" w:color="auto" w:fill="BFBFBF"/>
            <w:vAlign w:val="top"/>
          </w:tcPr>
          <w:p w14:paraId="5C02502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5FC98610"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5128FFDC"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CEC71EA"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MEPR-5103</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 Environmental Principles and Regulation</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ESDM-5104</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Environmental Sampling and Data Management</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MPPC-5105</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 Pollution Prevention and Control</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BEHM-5206</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Biodiversity and Habitat Management</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MWTM-5207</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 Water and Tailings Monitoring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ERIA-5208</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Environmental Risk and Incident Analysis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EMAR-5209</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Environmental Management Auditing and Reporting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IEMP-5210</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Mine Environmental Management Project</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r>
    </w:tbl>
    <w:p w14:paraId="5E48422E" w14:textId="77777777" w:rsidR="00C65B51" w:rsidRPr="008B6C93" w:rsidRDefault="00C65B51">
      <w:pPr>
        <w:spacing w:before="0" w:after="120"/>
        <w:rPr>
          <w:rFonts w:ascii="Arial" w:hAnsi="Arial" w:eastAsia="Arial" w:cs="Arial"/>
          <w:sz w:val="20"/>
          <w:szCs w:val="20"/>
        </w:rPr>
        <w:sectPr w:rsidR="00C65B51" w:rsidRPr="008B6C93">
          <w:footerReference w:type="default" r:id="rId9"/>
          <w:headerReference w:type="default" r:id="rId75"/>
          <w:pgSz w:w="11906" w:h="16838"/>
          <w:pgMar w:top="850" w:right="907" w:bottom="850" w:left="907" w:header="397" w:footer="397" w:gutter="0"/>
          <w:pgBorders w:display="firstPage" w:offsetFrom="page">
            <w:top w:val="single" w:sz="10" w:space="20" w:color="F36B18"/>
            <w:left w:val="single" w:sz="10" w:space="20" w:color="F36B18"/>
            <w:bottom w:val="single" w:sz="10" w:space="20" w:color="F36B18"/>
            <w:right w:val="single" w:sz="10" w:space="20" w:color="F36B18"/>
          </w:pgBorders>
          <w:cols w:space="720"/>
          <w:docGrid w:linePitch="360"/>
        </w:sectPr>
      </w:pPr>
    </w:p>
    <w:p w14:paraId="23585C03" w14:textId="47D218A8" w:rsidR="00885E26" w:rsidRPr="008B6C93" w:rsidRDefault="00885E26" w:rsidP="00885E26">
      <w:pPr>
        <w:keepNext/>
        <w:spacing w:before="0" w:after="120"/>
        <w:rPr>
          <w:rFonts w:ascii="Arial" w:hAnsi="Arial" w:eastAsia="Arial" w:cs="Arial"/>
          <w:b/>
          <w:bCs/>
          <w:lang w:val="en-US"/>
          <w:sz w:val="20"/>
          <w:szCs w:val="20"/>
        </w:rPr>
      </w:pPr>
      <w:r w:rsidRPr="008B6C93">
        <w:rPr>
          <w:rFonts w:ascii="Arial" w:hAnsi="Arial" w:eastAsia="Arial" w:cs="Arial"/>
          <w:b/>
          <w:bCs/>
          <w:sz w:val="20"/>
          <w:lang w:val="en-US"/>
          <w:szCs w:val="20"/>
        </w:rPr>
        <w:t>Detailed Qualification Structure</w:t>
      </w:r>
    </w:p>
    <w:tbl>
      <w:tblPr>
        <w:tblW w:w="1505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589"/>
        <w:gridCol w:w="5782"/>
        <w:gridCol w:w="853"/>
        <w:gridCol w:w="1003"/>
        <w:gridCol w:w="1134"/>
        <w:gridCol w:w="1433"/>
        <w:gridCol w:w="1417"/>
        <w:gridCol w:w="1276"/>
      </w:tblGrid>
      <w:tr w:rsidR="00885E26" w:rsidRPr="008B6C93" w14:paraId="435529B1" w14:textId="77777777" w:rsidTr="00484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0FCEABD2"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vAlign w:val="top"/>
          </w:tcPr>
          <w:p w14:paraId="06A24AC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1B1B12E1"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78AFF4C3"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114DD16E"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vAlign w:val="top"/>
          </w:tcPr>
          <w:p w14:paraId="716834B6"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vAlign w:val="top"/>
          </w:tcPr>
          <w:p w14:paraId="45BB1C7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vAlign w:val="top"/>
          </w:tcPr>
          <w:p w14:paraId="363F9563"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vAlign w:val="top"/>
          </w:tcPr>
          <w:p w14:paraId="4052CB7C"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MEPR-5103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 Environmental Principles and Regulation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ESDM-5104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Environmental Sampling and Data Management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MPPC-5105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 Pollution Prevention and Control</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BEHM-5206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Biodiversity and Habitat Management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MEPR-5103</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MWTM-5207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 Water and Tailings Monitoring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ESDM-5104, MPPC-5105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ERIA-5208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Environmental Risk and Incident Analysis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MEPR-5103, MPPC-5105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EMAR-5209</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Environmental Management Auditing and Reporting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MEPR-5103, ESDM-5104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IEMP-5210</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Mine Environmental Management Project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MEPR-5103, ESDM-5104, MPPC-5105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r>
    </w:tbl>
    <w:p w14:paraId="69587798" w14:textId="613F5814" w:rsidR="00484777" w:rsidRPr="008B6C93" w:rsidRDefault="0082754C" w:rsidP="00484777">
      <w:pPr>
        <w:spacing w:before="0" w:after="120"/>
        <w:rPr>
          <w:rFonts w:ascii="Arial" w:hAnsi="Arial" w:eastAsia="Arial" w:cs="Arial"/>
          <w:b/>
          <w:bCs/>
          <w:sz w:val="20"/>
          <w:szCs w:val="20"/>
        </w:rPr>
      </w:pPr>
      <w:r w:rsidRPr="008B6C93">
        <w:rPr>
          <w:rFonts w:ascii="Arial" w:hAnsi="Arial" w:eastAsia="Arial" w:cs="Arial"/>
          <w:b/>
          <w:bCs/>
          <w:sz w:val="20"/>
          <w:lang w:val="en-US"/>
          <w:szCs w:val="20"/>
        </w:rPr>
        <w:lastRenderedPageBreak/>
        <w:t>Learning Time Distribution Framework</w:t>
      </w:r>
      <w:r w:rsidRPr="008B6C93">
        <w:rPr>
          <w:rStyle w:val="FootnoteReference"/>
          <w:rFonts w:ascii="Arial" w:hAnsi="Arial" w:eastAsia="Arial" w:cs="Arial"/>
          <w:b/>
          <w:bCs/>
          <w:sz w:val="20"/>
          <w:lang w:val="en-US"/>
          <w:szCs w:val="20"/>
        </w:rPr>
        <w:footnoteReference w:id="7"/>
      </w:r>
    </w:p>
    <w:p w14:paraId="1136D19D" w14:textId="7F1437EB" w:rsidR="00484777" w:rsidRPr="008B6C93" w:rsidRDefault="00484777" w:rsidP="0082754C">
      <w:pPr>
        <w:spacing w:before="0" w:after="120"/>
        <w:ind w:right="38"/>
        <w:contextualSpacing/>
        <w:jc w:val="both"/>
        <w:rPr>
          <w:rFonts w:ascii="Arial" w:hAnsi="Arial" w:eastAsia="Arial" w:cs="Arial"/>
          <w:sz w:val="20"/>
          <w:szCs w:val="20"/>
        </w:rPr>
      </w:pPr>
      <w:r>
        <w:rPr>
          <w:rFonts w:ascii="Arial" w:hAnsi="Arial" w:eastAsia="Arial" w:cs="Arial"/>
          <w:sz w:val="20"/>
          <w:szCs w:val="20"/>
        </w:rPr>
        <w:t>One credit represents ten notional learning hours. The 120-credit qualification therefore contains 1,200 hours, including learning and assessment. The activity allocation below is the College’s planning model, not a nationally prescribed percentage split.</w:t>
      </w: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9"/>
        <w:gridCol w:w="3544"/>
        <w:gridCol w:w="2036"/>
        <w:gridCol w:w="8737"/>
      </w:tblGrid>
      <w:tr w:rsidR="0082754C" w:rsidRPr="008B6C93" w14:paraId="633384BA" w14:textId="77777777" w:rsidTr="00484777">
        <w:trPr>
          <w:tblHeader/>
        </w:trPr>
        <w:tc>
          <w:tcPr>
            <w:tcW w:w="709" w:type="dxa"/>
            <w:shd w:val="clear" w:color="auto" w:fill="D9D9D9"/>
            <w:vAlign w:val="top"/>
          </w:tcPr>
          <w:p w14:paraId="552B941E" w14:textId="77777777" w:rsidR="0082754C" w:rsidRPr="008B6C93" w:rsidRDefault="0082754C" w:rsidP="008862B1">
            <w:pPr>
              <w:keepNext/>
              <w:spacing w:line="240" w:lineRule="auto" w:before="40" w:after="40"/>
              <w:contextualSpacing/>
              <w:jc w:val="left"/>
              <w:rPr>
                <w:rFonts w:ascii="Arial" w:hAnsi="Arial" w:eastAsia="Arial" w:cs="Arial"/>
                <w:sz w:val="20"/>
                <w:szCs w:val="20"/>
              </w:rPr>
            </w:pPr>
            <w:r w:rsidRPr="008B6C93">
              <w:rPr>
                <w:rFonts w:ascii="Arial" w:hAnsi="Arial" w:eastAsia="Arial" w:cs="Arial"/>
                <w:b/>
                <w:sz w:val="20"/>
                <w:szCs w:val="20"/>
              </w:rPr>
              <w:t>No</w:t>
            </w:r>
          </w:p>
        </w:tc>
        <w:tc>
          <w:tcPr>
            <w:tcW w:w="3544" w:type="dxa"/>
            <w:shd w:val="clear" w:color="auto" w:fill="D9D9D9"/>
            <w:vAlign w:val="top"/>
          </w:tcPr>
          <w:p w14:paraId="03DE19D2" w14:textId="77777777" w:rsidR="0082754C" w:rsidRPr="008B6C93" w:rsidRDefault="0082754C" w:rsidP="008862B1">
            <w:pPr>
              <w:keepNext/>
              <w:spacing w:line="240" w:lineRule="auto" w:before="40" w:after="40"/>
              <w:ind w:left="567"/>
              <w:contextualSpacing/>
              <w:jc w:val="left"/>
              <w:rPr>
                <w:rFonts w:ascii="Arial" w:hAnsi="Arial" w:eastAsia="Arial" w:cs="Arial"/>
                <w:sz w:val="20"/>
                <w:szCs w:val="20"/>
              </w:rPr>
            </w:pPr>
            <w:r w:rsidRPr="008B6C93">
              <w:rPr>
                <w:rFonts w:ascii="Arial" w:hAnsi="Arial" w:eastAsia="Arial" w:cs="Arial"/>
                <w:b/>
                <w:sz w:val="20"/>
                <w:szCs w:val="20"/>
              </w:rPr>
              <w:t>Learning Activity Category</w:t>
            </w:r>
          </w:p>
        </w:tc>
        <w:tc>
          <w:tcPr>
            <w:tcW w:w="2036" w:type="dxa"/>
            <w:shd w:val="clear" w:color="auto" w:fill="D9D9D9"/>
            <w:vAlign w:val="top"/>
          </w:tcPr>
          <w:p w14:paraId="7A9140D6" w14:textId="77777777" w:rsidR="0082754C" w:rsidRPr="008B6C93" w:rsidRDefault="0082754C" w:rsidP="008862B1">
            <w:pPr>
              <w:keepNext/>
              <w:spacing w:line="240" w:lineRule="auto" w:before="40" w:after="40"/>
              <w:contextualSpacing/>
              <w:jc w:val="left"/>
              <w:rPr>
                <w:rFonts w:ascii="Arial" w:hAnsi="Arial" w:eastAsia="Arial" w:cs="Arial"/>
                <w:sz w:val="20"/>
                <w:szCs w:val="20"/>
              </w:rPr>
            </w:pPr>
            <w:r w:rsidRPr="008B6C93">
              <w:rPr>
                <w:rFonts w:ascii="Arial" w:hAnsi="Arial" w:eastAsia="Arial" w:cs="Arial"/>
                <w:b/>
                <w:sz w:val="20"/>
                <w:szCs w:val="20"/>
              </w:rPr>
              <w:t>% Allocation Per Credit</w:t>
            </w:r>
          </w:p>
        </w:tc>
        <w:tc>
          <w:tcPr>
            <w:tcW w:w="8737" w:type="dxa"/>
            <w:shd w:val="clear" w:color="auto" w:fill="D9D9D9"/>
            <w:vAlign w:val="top"/>
          </w:tcPr>
          <w:p w14:paraId="317150BF" w14:textId="77777777" w:rsidR="0082754C" w:rsidRPr="008B6C93" w:rsidRDefault="0082754C" w:rsidP="008862B1">
            <w:pPr>
              <w:keepNext/>
              <w:spacing w:line="240" w:lineRule="auto" w:before="40" w:after="40"/>
              <w:ind w:left="567"/>
              <w:contextualSpacing/>
              <w:jc w:val="left"/>
              <w:rPr>
                <w:rFonts w:ascii="Arial" w:hAnsi="Arial" w:eastAsia="Arial" w:cs="Arial"/>
                <w:sz w:val="20"/>
                <w:szCs w:val="20"/>
              </w:rPr>
            </w:pPr>
            <w:r w:rsidRPr="008B6C93">
              <w:rPr>
                <w:rFonts w:ascii="Arial" w:hAnsi="Arial" w:eastAsia="Arial" w:cs="Arial"/>
                <w:b/>
                <w:sz w:val="20"/>
                <w:szCs w:val="20"/>
              </w:rPr>
              <w:t>Interpretation</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1</w:t>
            </w:r>
          </w:p>
        </w:tc>
        <w:tc>
          <w:tcPr>
            <w:tcW w:w="3544" w:type="dxa"/>
            <w:vAlign w:val="top"/>
          </w:tcPr>
          <w:p>
            <w:pPr>
              <w:spacing w:before="40" w:after="40" w:line="240" w:lineRule="auto"/>
              <w:jc w:val="left"/>
            </w:pPr>
            <w:r>
              <w:rPr>
                <w:rFonts w:ascii="Arial" w:hAnsi="Arial" w:eastAsia="Arial" w:cs="Arial"/>
                <w:b w:val="0"/>
                <w:sz w:val="20"/>
                <w:szCs w:val="20"/>
              </w:rPr>
              <w:t>Taught contact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Lectures, seminars, tutorials and structured workshops.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2</w:t>
            </w:r>
          </w:p>
        </w:tc>
        <w:tc>
          <w:tcPr>
            <w:tcW w:w="3544" w:type="dxa"/>
            <w:vAlign w:val="top"/>
          </w:tcPr>
          <w:p>
            <w:pPr>
              <w:spacing w:before="40" w:after="40" w:line="240" w:lineRule="auto"/>
              <w:jc w:val="left"/>
            </w:pPr>
            <w:r>
              <w:rPr>
                <w:rFonts w:ascii="Arial" w:hAnsi="Arial" w:eastAsia="Arial" w:cs="Arial"/>
                <w:b w:val="0"/>
                <w:sz w:val="20"/>
                <w:szCs w:val="20"/>
              </w:rPr>
              <w:t>Guided practical contact learning / directed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Supervised exercises, practical activities and simulations within the programme safety boundaries.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3</w:t>
            </w:r>
          </w:p>
        </w:tc>
        <w:tc>
          <w:tcPr>
            <w:tcW w:w="3544" w:type="dxa"/>
            <w:vAlign w:val="top"/>
          </w:tcPr>
          <w:p>
            <w:pPr>
              <w:spacing w:before="40" w:after="40" w:line="240" w:lineRule="auto"/>
              <w:jc w:val="left"/>
            </w:pPr>
            <w:r>
              <w:rPr>
                <w:rFonts w:ascii="Arial" w:hAnsi="Arial" w:eastAsia="Arial" w:cs="Arial"/>
                <w:b w:val="0"/>
                <w:sz w:val="20"/>
                <w:szCs w:val="20"/>
              </w:rPr>
              <w:t>Independent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Reading, preparation, research and independent practice.</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4</w:t>
            </w:r>
          </w:p>
        </w:tc>
        <w:tc>
          <w:tcPr>
            <w:tcW w:w="3544" w:type="dxa"/>
            <w:vAlign w:val="top"/>
          </w:tcPr>
          <w:p>
            <w:pPr>
              <w:spacing w:before="40" w:after="40" w:line="240" w:lineRule="auto"/>
              <w:jc w:val="left"/>
            </w:pPr>
            <w:r>
              <w:rPr>
                <w:rFonts w:ascii="Arial" w:hAnsi="Arial" w:eastAsia="Arial" w:cs="Arial"/>
                <w:b w:val="0"/>
                <w:sz w:val="20"/>
                <w:szCs w:val="20"/>
              </w:rPr>
              <w:t>Assessment</w:t>
            </w:r>
          </w:p>
        </w:tc>
        <w:tc>
          <w:tcPr>
            <w:tcW w:w="2036" w:type="dxa"/>
            <w:vAlign w:val="top"/>
          </w:tcPr>
          <w:p>
            <w:pPr>
              <w:spacing w:before="40" w:after="40" w:line="240" w:lineRule="auto"/>
              <w:jc w:val="left"/>
            </w:pPr>
            <w:r>
              <w:rPr>
                <w:rFonts w:ascii="Arial" w:hAnsi="Arial" w:eastAsia="Arial" w:cs="Arial"/>
                <w:b w:val="0"/>
                <w:sz w:val="20"/>
                <w:szCs w:val="20"/>
              </w:rPr>
              <w:t>10% | 120 hours</w:t>
            </w:r>
          </w:p>
        </w:tc>
        <w:tc>
          <w:tcPr>
            <w:tcW w:w="8737" w:type="dxa"/>
            <w:vAlign w:val="top"/>
          </w:tcPr>
          <w:p>
            <w:pPr>
              <w:spacing w:before="40" w:after="40" w:line="240" w:lineRule="auto"/>
              <w:jc w:val="left"/>
            </w:pPr>
            <w:r>
              <w:rPr>
                <w:rFonts w:ascii="Arial" w:hAnsi="Arial" w:eastAsia="Arial" w:cs="Arial"/>
                <w:b w:val="0"/>
                <w:sz w:val="20"/>
                <w:szCs w:val="20"/>
              </w:rPr>
              <w:t>Preparation and completion of assessments; recorded separately from contact hours.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r>
          </w:p>
        </w:tc>
        <w:tc>
          <w:tcPr>
            <w:tcW w:w="3544" w:type="dxa"/>
            <w:vAlign w:val="top"/>
          </w:tcPr>
          <w:p>
            <w:pPr>
              <w:spacing w:before="40" w:after="40" w:line="240" w:lineRule="auto"/>
              <w:jc w:val="left"/>
            </w:pPr>
            <w:r>
              <w:rPr>
                <w:rFonts w:ascii="Arial" w:hAnsi="Arial" w:eastAsia="Arial" w:cs="Arial"/>
                <w:b w:val="0"/>
                <w:sz w:val="20"/>
                <w:szCs w:val="20"/>
              </w:rPr>
              <w:t>Total</w:t>
            </w:r>
          </w:p>
        </w:tc>
        <w:tc>
          <w:tcPr>
            <w:tcW w:w="2036" w:type="dxa"/>
            <w:vAlign w:val="top"/>
          </w:tcPr>
          <w:p>
            <w:pPr>
              <w:spacing w:before="40" w:after="40" w:line="240" w:lineRule="auto"/>
              <w:jc w:val="left"/>
            </w:pPr>
            <w:r>
              <w:rPr>
                <w:rFonts w:ascii="Arial" w:hAnsi="Arial" w:eastAsia="Arial" w:cs="Arial"/>
                <w:b w:val="0"/>
                <w:sz w:val="20"/>
                <w:szCs w:val="20"/>
              </w:rPr>
              <w:t>100% | 1,200 hours</w:t>
            </w:r>
          </w:p>
        </w:tc>
        <w:tc>
          <w:tcPr>
            <w:tcW w:w="8737" w:type="dxa"/>
            <w:vAlign w:val="top"/>
          </w:tcPr>
          <w:p>
            <w:pPr>
              <w:spacing w:before="40" w:after="40" w:line="240" w:lineRule="auto"/>
              <w:jc w:val="left"/>
            </w:pPr>
            <w:r>
              <w:rPr>
                <w:rFonts w:ascii="Arial" w:hAnsi="Arial" w:eastAsia="Arial" w:cs="Arial"/>
                <w:b w:val="0"/>
                <w:sz w:val="20"/>
                <w:szCs w:val="20"/>
              </w:rPr>
              <w:t>720 contact hours; 480 independent-learning and assessment hours.</w:t>
            </w:r>
          </w:p>
        </w:tc>
      </w:tr>
    </w:tbl>
    <w:p w14:paraId="14485BC9" w14:textId="77777777" w:rsidR="006F54F2" w:rsidRPr="008B6C93" w:rsidRDefault="006F54F2" w:rsidP="006F54F2">
      <w:pPr>
        <w:pStyle w:val="Heading1"/>
        <w:spacing w:before="0" w:after="120"/>
        <w:rPr>
          <w:rFonts w:ascii="Arial" w:hAnsi="Arial" w:eastAsia="Arial" w:cs="Arial"/>
          <w:sz w:val="20"/>
          <w:szCs w:val="20"/>
        </w:rPr>
      </w:pPr>
      <w:r w:rsidRPr="008B6C93">
        <w:rPr>
          <w:rFonts w:ascii="Arial" w:hAnsi="Arial" w:eastAsia="Arial" w:cs="Arial"/>
          <w:sz w:val="20"/>
          <w:szCs w:val="20"/>
        </w:rPr>
        <w:t>Credit weighting rationale</w:t>
      </w:r>
    </w:p>
    <w:p w14:paraId="36F5E28C" w14:textId="77777777" w:rsidR="006F54F2" w:rsidRPr="008B6C93" w:rsidRDefault="006F54F2" w:rsidP="00484777">
      <w:pPr>
        <w:spacing w:before="0" w:after="120"/>
        <w:jc w:val="both"/>
        <w:rPr>
          <w:rFonts w:ascii="Arial" w:hAnsi="Arial" w:eastAsia="Arial" w:cs="Arial"/>
          <w:sz w:val="20"/>
          <w:szCs w:val="20"/>
        </w:rPr>
      </w:pPr>
      <w:r>
        <w:rPr>
          <w:rFonts w:ascii="Arial" w:hAnsi="Arial" w:eastAsia="Arial" w:cs="Arial"/>
          <w:sz w:val="20"/>
          <w:szCs w:val="20"/>
        </w:rPr>
        <w:t>The two shared 10-credit foundations support academic communication and secure information use. Semester 1 assigns 40 further credits to three discipline foundations. Semester 2 assigns 44 credits to four applied modules and 16 to the integrated project. Greater credit is allocated to repeated technical analysis and integrated evidence rather than title complexity.</w:t>
      </w:r>
    </w:p>
    <w:p w14:paraId="1200D500" w14:textId="77777777" w:rsidR="006F54F2" w:rsidRPr="008B6C93" w:rsidRDefault="006F54F2" w:rsidP="00484777">
      <w:pPr>
        <w:spacing w:before="0" w:after="120"/>
        <w:jc w:val="both"/>
        <w:rPr>
          <w:rFonts w:ascii="Arial" w:hAnsi="Arial" w:eastAsia="Arial" w:cs="Arial"/>
          <w:sz w:val="20"/>
          <w:szCs w:val="20"/>
        </w:rPr>
      </w:pPr>
      <w:r>
        <w:rPr>
          <w:rFonts w:ascii="Arial" w:hAnsi="Arial" w:eastAsia="Arial" w:cs="Arial"/>
          <w:sz w:val="20"/>
          <w:szCs w:val="20"/>
        </w:rPr>
        <w:t>Module allocations use the same percentages: a 10-credit module has 30 taught, 30 guided practical, 30 independent and 10 assessment hours; a 12-credit module has 36, 36, 36 and 12 hours; a 14-credit module has 42, 42, 42 and 14 hours; a 16-credit module has 48, 48, 48 and 16 hours. Each semester totals 600 notional hours, including 360 contact hours.</w:t>
      </w:r>
    </w:p>
    <w:p w14:paraId="7A2ED4AF" w14:textId="77777777" w:rsidR="00274B8B" w:rsidRPr="008B6C93" w:rsidRDefault="00274B8B" w:rsidP="00274B8B">
      <w:pPr>
        <w:pStyle w:val="Heading2"/>
        <w:spacing w:before="0" w:after="120"/>
        <w:contextualSpacing/>
        <w:rPr>
          <w:rFonts w:ascii="Arial" w:hAnsi="Arial" w:eastAsia="Arial" w:cs="Arial"/>
          <w:sz w:val="20"/>
          <w:szCs w:val="20"/>
        </w:rPr>
      </w:pPr>
      <w:r>
        <w:rPr>
          <w:rFonts w:ascii="Arial" w:hAnsi="Arial" w:eastAsia="Arial" w:cs="Arial"/>
          <w:sz w:val="20"/>
          <w:szCs w:val="20"/>
        </w:rPr>
        <w:t>Year 1 (Semesters 1 and 2) 120 Credits</w:t>
      </w:r>
    </w:p>
    <w:tbl>
      <w:tblPr>
        <w:tblW w:w="1505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589"/>
        <w:gridCol w:w="5782"/>
        <w:gridCol w:w="857"/>
        <w:gridCol w:w="1003"/>
        <w:gridCol w:w="1134"/>
        <w:gridCol w:w="1433"/>
        <w:gridCol w:w="1417"/>
        <w:gridCol w:w="1276"/>
      </w:tblGrid>
      <w:tr w:rsidR="00274B8B" w:rsidRPr="008B6C93" w14:paraId="40C73936" w14:textId="77777777" w:rsidTr="00484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761AC4A1"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vAlign w:val="top"/>
          </w:tcPr>
          <w:p w14:paraId="7BF64733"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32167354"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253247A"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6AAB1051"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vAlign w:val="top"/>
          </w:tcPr>
          <w:p w14:paraId="3F9DF5E0"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vAlign w:val="top"/>
          </w:tcPr>
          <w:p w14:paraId="29EE7548"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vAlign w:val="top"/>
          </w:tcPr>
          <w:p w14:paraId="3C161C01"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vAlign w:val="top"/>
          </w:tcPr>
          <w:p w14:paraId="373D2BD4"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MEPR-5103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 Environmental Principles and Regulation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ESDM-5104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Environmental Sampling and Data Management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MPPC-5105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 Pollution Prevention and Control</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Semester 1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60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BEHM-5206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Biodiversity and Habitat Management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MEPR-5103</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MWTM-5207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 Water and Tailings Monitoring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ESDM-5104, MPPC-5105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ERIA-5208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Environmental Risk and Incident Analysis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MEPR-5103, MPPC-5105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EMAR-5209</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Environmental Management Auditing and Reporting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MEPR-5103, ESDM-5104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IEMP-5210</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Mine Environmental Management Project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MEPR-5103, ESDM-5104, MPPC-5105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Semester 2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60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Year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720</w:t>
            </w:r>
          </w:p>
        </w:tc>
      </w:tr>
    </w:tbl>
    <w:p w14:paraId="0C9746FE" w14:textId="77777777" w:rsidR="00C65B51" w:rsidRPr="008B6C93" w:rsidRDefault="00C65B51">
      <w:pPr>
        <w:spacing w:before="0" w:after="120"/>
        <w:rPr>
          <w:rFonts w:ascii="Arial" w:hAnsi="Arial" w:eastAsia="Arial" w:cs="Arial"/>
          <w:sz w:val="20"/>
          <w:szCs w:val="20"/>
        </w:rPr>
        <w:sectPr w:rsidR="00C65B51" w:rsidRPr="008B6C93">
          <w:pgSz w:w="16838" w:h="11906" w:orient="landscape"/>
          <w:pgMar w:top="850" w:right="907" w:bottom="850" w:left="907" w:header="397" w:footer="397" w:gutter="0"/>
          <w:cols w:space="720"/>
          <w:docGrid w:linePitch="360"/>
        </w:sectPr>
      </w:pPr>
    </w:p>
    <w:p w14:paraId="228B2F81" w14:textId="77777777" w:rsidR="00C65B51" w:rsidRPr="008B6C93" w:rsidRDefault="00000000">
      <w:pPr>
        <w:pStyle w:val="Heading1"/>
        <w:spacing w:before="0" w:after="120"/>
        <w:rPr>
          <w:rFonts w:ascii="Arial" w:hAnsi="Arial" w:eastAsia="Arial" w:cs="Arial"/>
          <w:sz w:val="20"/>
          <w:szCs w:val="20"/>
          <w:u w:val="single"/>
        </w:rPr>
      </w:pPr>
      <w:r w:rsidRPr="008B6C93">
        <w:rPr>
          <w:rFonts w:ascii="Arial" w:hAnsi="Arial" w:eastAsia="Arial" w:cs="Arial"/>
          <w:sz w:val="20"/>
          <w:szCs w:val="20"/>
          <w:u w:val="single"/>
        </w:rPr>
        <w:lastRenderedPageBreak/>
        <w:t>Qualification Structure by Outcomes and Fields of Learning</w:t>
      </w:r>
    </w:p>
    <w:p w14:paraId="50AA284D" w14:textId="77777777" w:rsidR="00C65B51" w:rsidRPr="008B6C93" w:rsidRDefault="00000000">
      <w:pPr>
        <w:keepNext/>
        <w:spacing w:before="0" w:after="120"/>
        <w:rPr>
          <w:rFonts w:ascii="Arial" w:hAnsi="Arial" w:eastAsia="Arial" w:cs="Arial"/>
          <w:b/>
          <w:sz w:val="20"/>
          <w:szCs w:val="20"/>
        </w:rPr>
      </w:pPr>
      <w:r w:rsidRPr="008B6C93">
        <w:rPr>
          <w:rFonts w:ascii="Arial" w:hAnsi="Arial" w:eastAsia="Arial" w:cs="Arial"/>
          <w:b/>
          <w:sz w:val="20"/>
          <w:szCs w:val="20"/>
        </w:rPr>
        <w:t>Qualification outcomes</w:t>
      </w:r>
    </w:p>
    <w:tbl>
      <w:tblPr>
        <w:tblStyle w:val="TableGrid"/>
        <w:tblW w:w="0" w:type="auto"/>
        <w:tblInd w:w="108" w:type="dxa"/>
        <w:tblLook w:val="04A0" w:firstRow="1" w:lastRow="0" w:firstColumn="1" w:lastColumn="0" w:noHBand="0" w:noVBand="1"/>
      </w:tblPr>
      <w:tblGrid>
        <w:gridCol w:w="709"/>
        <w:gridCol w:w="14423"/>
      </w:tblGrid>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EO1</w:t>
            </w:r>
          </w:p>
        </w:tc>
        <w:tc>
          <w:tcPr>
            <w:tcW w:w="14423" w:type="dxa"/>
            <w:vAlign w:val="top"/>
          </w:tcPr>
          <w:p>
            <w:pPr>
              <w:spacing w:before="40" w:after="40" w:line="240" w:lineRule="auto"/>
              <w:jc w:val="left"/>
            </w:pPr>
            <w:r>
              <w:rPr>
                <w:rFonts w:ascii="Arial" w:hAnsi="Arial" w:eastAsia="Arial" w:cs="Arial"/>
                <w:b w:val="0"/>
                <w:sz w:val="20"/>
                <w:szCs w:val="20"/>
              </w:rPr>
              <w:t>Prepare clear technical reports and communicate environmental findings to different workplace audiences.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EO2</w:t>
            </w:r>
          </w:p>
        </w:tc>
        <w:tc>
          <w:tcPr>
            <w:tcW w:w="14423" w:type="dxa"/>
            <w:vAlign w:val="top"/>
          </w:tcPr>
          <w:p>
            <w:pPr>
              <w:spacing w:before="40" w:after="40" w:line="240" w:lineRule="auto"/>
              <w:jc w:val="left"/>
            </w:pPr>
            <w:r>
              <w:rPr>
                <w:rFonts w:ascii="Arial" w:hAnsi="Arial" w:eastAsia="Arial" w:cs="Arial"/>
                <w:b w:val="0"/>
                <w:sz w:val="20"/>
                <w:szCs w:val="20"/>
              </w:rPr>
              <w:t>Use information systems to maintain traceable environmental records and analyse operational data.</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EO3</w:t>
            </w:r>
          </w:p>
        </w:tc>
        <w:tc>
          <w:tcPr>
            <w:tcW w:w="14423" w:type="dxa"/>
            <w:vAlign w:val="top"/>
          </w:tcPr>
          <w:p>
            <w:pPr>
              <w:spacing w:before="40" w:after="40" w:line="240" w:lineRule="auto"/>
              <w:jc w:val="left"/>
            </w:pPr>
            <w:r>
              <w:rPr>
                <w:rFonts w:ascii="Arial" w:hAnsi="Arial" w:eastAsia="Arial" w:cs="Arial"/>
                <w:b w:val="0"/>
                <w:sz w:val="20"/>
                <w:szCs w:val="20"/>
              </w:rPr>
              <w:t>Interpret environmental obligations and translate an approved management plan into monitored tasks.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EO4</w:t>
            </w:r>
          </w:p>
        </w:tc>
        <w:tc>
          <w:tcPr>
            <w:tcW w:w="14423" w:type="dxa"/>
            <w:vAlign w:val="top"/>
          </w:tcPr>
          <w:p>
            <w:pPr>
              <w:spacing w:before="40" w:after="40" w:line="240" w:lineRule="auto"/>
              <w:jc w:val="left"/>
            </w:pPr>
            <w:r>
              <w:rPr>
                <w:rFonts w:ascii="Arial" w:hAnsi="Arial" w:eastAsia="Arial" w:cs="Arial"/>
                <w:b w:val="0"/>
                <w:sz w:val="20"/>
                <w:szCs w:val="20"/>
              </w:rPr>
              <w:t>Analyse mining impacts on water, air, soils and biodiversity and select proportionate control measures.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EO5</w:t>
            </w:r>
          </w:p>
        </w:tc>
        <w:tc>
          <w:tcPr>
            <w:tcW w:w="14423" w:type="dxa"/>
            <w:vAlign w:val="top"/>
          </w:tcPr>
          <w:p>
            <w:pPr>
              <w:spacing w:before="40" w:after="40" w:line="240" w:lineRule="auto"/>
              <w:jc w:val="left"/>
            </w:pPr>
            <w:r>
              <w:rPr>
                <w:rFonts w:ascii="Arial" w:hAnsi="Arial" w:eastAsia="Arial" w:cs="Arial"/>
                <w:b w:val="0"/>
                <w:sz w:val="20"/>
                <w:szCs w:val="20"/>
              </w:rPr>
              <w:t>Investigate environmental deviations using reliable evidence and recommend corrective actions within delegated authority.</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EO6</w:t>
            </w:r>
          </w:p>
        </w:tc>
        <w:tc>
          <w:tcPr>
            <w:tcW w:w="14423" w:type="dxa"/>
            <w:vAlign w:val="top"/>
          </w:tcPr>
          <w:p>
            <w:pPr>
              <w:spacing w:before="40" w:after="40" w:line="240" w:lineRule="auto"/>
              <w:jc w:val="left"/>
            </w:pPr>
            <w:r>
              <w:rPr>
                <w:rFonts w:ascii="Arial" w:hAnsi="Arial" w:eastAsia="Arial" w:cs="Arial"/>
                <w:b w:val="0"/>
                <w:sz w:val="20"/>
                <w:szCs w:val="20"/>
              </w:rPr>
              <w:t>Prepare and justify an integrated mine environmental management proposal with monitoring, responsibilities and review criteria.</w:t>
            </w:r>
          </w:p>
        </w:tc>
      </w:tr>
    </w:tbl>
    <w:p w14:paraId="77DF3E76"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t>Fields of Learning in the Republic of Namibia</w:t>
      </w: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7"/>
        <w:gridCol w:w="14459"/>
      </w:tblGrid>
      <w:tr w:rsidR="00484777" w:rsidRPr="008B6C93" w14:paraId="32767CB0" w14:textId="77777777" w:rsidTr="00484777">
        <w:trPr>
          <w:tblHeader/>
        </w:trPr>
        <w:tc>
          <w:tcPr>
            <w:tcW w:w="567" w:type="dxa"/>
            <w:shd w:val="clear" w:color="auto" w:fill="D9D9D9"/>
            <w:vAlign w:val="top"/>
          </w:tcPr>
          <w:p w14:paraId="59F6E304" w14:textId="77777777" w:rsidR="00484777" w:rsidRPr="008B6C93" w:rsidRDefault="00484777" w:rsidP="008862B1">
            <w:pPr>
              <w:pStyle w:val="ListParagraph"/>
              <w:keepNext/>
              <w:spacing w:line="240" w:lineRule="auto" w:before="40" w:after="40"/>
              <w:ind w:left="0" w:hanging="68"/>
              <w:rPr>
                <w:rFonts w:ascii="Arial" w:hAnsi="Arial" w:eastAsia="Arial" w:cs="Arial"/>
                <w:lang w:val="en-US"/>
                <w:sz w:val="20"/>
                <w:szCs w:val="20"/>
              </w:rPr>
            </w:pPr>
            <w:r w:rsidRPr="008B6C93">
              <w:rPr>
                <w:rFonts w:ascii="Arial" w:hAnsi="Arial" w:eastAsia="Arial" w:cs="Arial"/>
                <w:lang w:val="en-US"/>
                <w:sz w:val="20"/>
                <w:szCs w:val="20"/>
              </w:rPr>
              <w:t>No</w:t>
            </w:r>
          </w:p>
        </w:tc>
        <w:tc>
          <w:tcPr>
            <w:tcW w:w="14459" w:type="dxa"/>
            <w:shd w:val="clear" w:color="auto" w:fill="D9D9D9"/>
            <w:vAlign w:val="top"/>
          </w:tcPr>
          <w:p w14:paraId="6F6FE379" w14:textId="083C77E8" w:rsidR="00484777" w:rsidRPr="008B6C93" w:rsidRDefault="00484777" w:rsidP="008862B1">
            <w:pPr>
              <w:pStyle w:val="ListParagraph"/>
              <w:keepNext/>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 xml:space="preserve">NQF </w:t>
            </w:r>
            <w:r w:rsidRPr="008B6C93">
              <w:rPr>
                <w:rFonts w:ascii="Arial" w:hAnsi="Arial" w:eastAsia="Arial" w:cs="Arial"/>
                <w:sz w:val="20"/>
                <w:szCs w:val="20"/>
              </w:rPr>
              <w:t xml:space="preserve">Broad </w:t>
            </w:r>
            <w:r w:rsidRPr="008B6C93">
              <w:rPr>
                <w:rFonts w:ascii="Arial" w:hAnsi="Arial" w:eastAsia="Arial" w:cs="Arial"/>
                <w:lang w:val="en-US"/>
                <w:sz w:val="20"/>
                <w:szCs w:val="20"/>
              </w:rPr>
              <w:t xml:space="preserve">Field(s) </w:t>
            </w:r>
          </w:p>
        </w:tc>
      </w:tr>
      <w:tr w:rsidR="00484777" w:rsidRPr="008B6C93" w14:paraId="2BF09E3E" w14:textId="77777777" w:rsidTr="00484777">
        <w:trPr/>
        <w:tc>
          <w:tcPr>
            <w:tcW w:w="567" w:type="dxa"/>
            <w:vAlign w:val="top"/>
          </w:tcPr>
          <w:p w14:paraId="069A3CCA"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w:t>
            </w:r>
          </w:p>
        </w:tc>
        <w:tc>
          <w:tcPr>
            <w:tcW w:w="14459" w:type="dxa"/>
            <w:vAlign w:val="top"/>
          </w:tcPr>
          <w:p w14:paraId="661AC47B" w14:textId="0C0258B3"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Agriculture and Nature Conservation</w:t>
            </w:r>
          </w:p>
        </w:tc>
      </w:tr>
      <w:tr w:rsidR="00484777" w:rsidRPr="008B6C93" w14:paraId="49BF5576" w14:textId="77777777" w:rsidTr="00484777">
        <w:trPr/>
        <w:tc>
          <w:tcPr>
            <w:tcW w:w="567" w:type="dxa"/>
            <w:vAlign w:val="top"/>
          </w:tcPr>
          <w:p w14:paraId="48F37828"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2</w:t>
            </w:r>
          </w:p>
        </w:tc>
        <w:tc>
          <w:tcPr>
            <w:tcW w:w="14459" w:type="dxa"/>
            <w:vAlign w:val="top"/>
          </w:tcPr>
          <w:p w14:paraId="3F5562E2" w14:textId="2029780C"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Business, Commerce and Management Studies</w:t>
            </w:r>
          </w:p>
        </w:tc>
      </w:tr>
      <w:tr w:rsidR="00484777" w:rsidRPr="008B6C93" w14:paraId="2F93D6D7" w14:textId="77777777" w:rsidTr="00484777">
        <w:trPr/>
        <w:tc>
          <w:tcPr>
            <w:tcW w:w="567" w:type="dxa"/>
            <w:vAlign w:val="top"/>
          </w:tcPr>
          <w:p w14:paraId="4C3E7625"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3</w:t>
            </w:r>
          </w:p>
        </w:tc>
        <w:tc>
          <w:tcPr>
            <w:tcW w:w="14459" w:type="dxa"/>
            <w:vAlign w:val="top"/>
          </w:tcPr>
          <w:p w14:paraId="134740F6" w14:textId="71EF337B"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Communication Studies and Language</w:t>
            </w:r>
          </w:p>
        </w:tc>
      </w:tr>
      <w:tr w:rsidR="00484777" w:rsidRPr="008B6C93" w14:paraId="091A200B" w14:textId="77777777" w:rsidTr="00484777">
        <w:trPr/>
        <w:tc>
          <w:tcPr>
            <w:tcW w:w="567" w:type="dxa"/>
            <w:vAlign w:val="top"/>
          </w:tcPr>
          <w:p w14:paraId="55A5B5CB"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4</w:t>
            </w:r>
          </w:p>
        </w:tc>
        <w:tc>
          <w:tcPr>
            <w:tcW w:w="14459" w:type="dxa"/>
            <w:vAlign w:val="top"/>
          </w:tcPr>
          <w:p w14:paraId="513C15B8" w14:textId="0096EEB2"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Culture and the Arts</w:t>
            </w:r>
          </w:p>
        </w:tc>
      </w:tr>
      <w:tr w:rsidR="00484777" w:rsidRPr="008B6C93" w14:paraId="01A5F9B3" w14:textId="77777777" w:rsidTr="00484777">
        <w:trPr/>
        <w:tc>
          <w:tcPr>
            <w:tcW w:w="567" w:type="dxa"/>
            <w:vAlign w:val="top"/>
          </w:tcPr>
          <w:p w14:paraId="4A4C0490"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5</w:t>
            </w:r>
          </w:p>
        </w:tc>
        <w:tc>
          <w:tcPr>
            <w:tcW w:w="14459" w:type="dxa"/>
            <w:vAlign w:val="top"/>
          </w:tcPr>
          <w:p w14:paraId="6157D57D" w14:textId="394FE3A1"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Education, Training and Development</w:t>
            </w:r>
          </w:p>
        </w:tc>
      </w:tr>
      <w:tr w:rsidR="00484777" w:rsidRPr="008B6C93" w14:paraId="15437FA5" w14:textId="77777777" w:rsidTr="00484777">
        <w:trPr/>
        <w:tc>
          <w:tcPr>
            <w:tcW w:w="567" w:type="dxa"/>
            <w:vAlign w:val="top"/>
          </w:tcPr>
          <w:p w14:paraId="576900F9"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6</w:t>
            </w:r>
          </w:p>
        </w:tc>
        <w:tc>
          <w:tcPr>
            <w:tcW w:w="14459" w:type="dxa"/>
            <w:vAlign w:val="top"/>
          </w:tcPr>
          <w:p w14:paraId="72572C18" w14:textId="48DC5D79"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Manufacturing, Engineering and Technology</w:t>
            </w:r>
          </w:p>
        </w:tc>
      </w:tr>
      <w:tr w:rsidR="00484777" w:rsidRPr="008B6C93" w14:paraId="20F8F484" w14:textId="77777777" w:rsidTr="00484777">
        <w:trPr/>
        <w:tc>
          <w:tcPr>
            <w:tcW w:w="567" w:type="dxa"/>
            <w:vAlign w:val="top"/>
          </w:tcPr>
          <w:p w14:paraId="59849835"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7</w:t>
            </w:r>
          </w:p>
        </w:tc>
        <w:tc>
          <w:tcPr>
            <w:tcW w:w="14459" w:type="dxa"/>
            <w:vAlign w:val="top"/>
          </w:tcPr>
          <w:p w14:paraId="4ED01D18" w14:textId="48FAC2EC"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Human and Social Studies</w:t>
            </w:r>
          </w:p>
        </w:tc>
      </w:tr>
      <w:tr w:rsidR="00484777" w:rsidRPr="008B6C93" w14:paraId="54696A55" w14:textId="77777777" w:rsidTr="00484777">
        <w:trPr/>
        <w:tc>
          <w:tcPr>
            <w:tcW w:w="567" w:type="dxa"/>
            <w:vAlign w:val="top"/>
          </w:tcPr>
          <w:p w14:paraId="09C93AC8"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8</w:t>
            </w:r>
          </w:p>
        </w:tc>
        <w:tc>
          <w:tcPr>
            <w:tcW w:w="14459" w:type="dxa"/>
            <w:vAlign w:val="top"/>
          </w:tcPr>
          <w:p w14:paraId="07E0C16F" w14:textId="5714BB03"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Law, Military Science and Security</w:t>
            </w:r>
          </w:p>
        </w:tc>
      </w:tr>
      <w:tr w:rsidR="00484777" w:rsidRPr="008B6C93" w14:paraId="24343AB2" w14:textId="77777777" w:rsidTr="00484777">
        <w:trPr/>
        <w:tc>
          <w:tcPr>
            <w:tcW w:w="567" w:type="dxa"/>
            <w:vAlign w:val="top"/>
          </w:tcPr>
          <w:p w14:paraId="6B2122C2"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9</w:t>
            </w:r>
          </w:p>
        </w:tc>
        <w:tc>
          <w:tcPr>
            <w:tcW w:w="14459" w:type="dxa"/>
            <w:vAlign w:val="top"/>
          </w:tcPr>
          <w:p w14:paraId="713F4B2F" w14:textId="515755C7"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Health Sciences and Social Services</w:t>
            </w:r>
          </w:p>
        </w:tc>
      </w:tr>
      <w:tr w:rsidR="00484777" w:rsidRPr="008B6C93" w14:paraId="320466B5" w14:textId="77777777" w:rsidTr="00484777">
        <w:trPr/>
        <w:tc>
          <w:tcPr>
            <w:tcW w:w="567" w:type="dxa"/>
            <w:vAlign w:val="top"/>
          </w:tcPr>
          <w:p w14:paraId="02BC7272"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10</w:t>
            </w:r>
          </w:p>
        </w:tc>
        <w:tc>
          <w:tcPr>
            <w:tcW w:w="14459" w:type="dxa"/>
            <w:vAlign w:val="top"/>
          </w:tcPr>
          <w:p w14:paraId="127F203C" w14:textId="1E829E85"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Physical, Mathematical and Computer Sciences</w:t>
            </w:r>
          </w:p>
        </w:tc>
      </w:tr>
      <w:tr w:rsidR="00484777" w:rsidRPr="008B6C93" w14:paraId="62261864" w14:textId="77777777" w:rsidTr="00484777">
        <w:trPr/>
        <w:tc>
          <w:tcPr>
            <w:tcW w:w="567" w:type="dxa"/>
            <w:vAlign w:val="top"/>
          </w:tcPr>
          <w:p w14:paraId="6DE4EE1D"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11</w:t>
            </w:r>
          </w:p>
        </w:tc>
        <w:tc>
          <w:tcPr>
            <w:tcW w:w="14459" w:type="dxa"/>
            <w:vAlign w:val="top"/>
          </w:tcPr>
          <w:p w14:paraId="028FCFDE" w14:textId="14080506"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Physical Planning and Construction</w:t>
            </w:r>
          </w:p>
        </w:tc>
      </w:tr>
      <w:tr w:rsidR="00484777" w:rsidRPr="008B6C93" w14:paraId="68E938D4" w14:textId="77777777" w:rsidTr="00484777">
        <w:trPr/>
        <w:tc>
          <w:tcPr>
            <w:tcW w:w="567" w:type="dxa"/>
            <w:vAlign w:val="top"/>
          </w:tcPr>
          <w:p w14:paraId="6A829CA1"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12</w:t>
            </w:r>
          </w:p>
        </w:tc>
        <w:tc>
          <w:tcPr>
            <w:tcW w:w="14459" w:type="dxa"/>
            <w:vAlign w:val="top"/>
          </w:tcPr>
          <w:p w14:paraId="2FBFB756" w14:textId="12B56D35"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Services and Life Sciences</w:t>
            </w:r>
          </w:p>
        </w:tc>
      </w:tr>
    </w:tbl>
    <w:p w14:paraId="77D6601B" w14:textId="77777777" w:rsidR="00C65B51" w:rsidRPr="008B6C93" w:rsidRDefault="00C65B51">
      <w:pPr>
        <w:spacing w:before="0" w:after="120"/>
        <w:rPr>
          <w:rFonts w:ascii="Arial" w:hAnsi="Arial" w:eastAsia="Arial" w:cs="Arial"/>
          <w:sz w:val="20"/>
          <w:szCs w:val="20"/>
        </w:rPr>
        <w:sectPr w:rsidR="00C65B51" w:rsidRPr="008B6C93">
          <w:pgSz w:w="16838" w:h="11906" w:orient="landscape"/>
          <w:pgMar w:top="850" w:right="907" w:bottom="850" w:left="907" w:header="397" w:footer="397" w:gutter="0"/>
          <w:cols w:space="720"/>
          <w:docGrid w:linePitch="360"/>
        </w:sectPr>
      </w:pPr>
    </w:p>
    <w:p w14:paraId="7631D47B"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Module Outcomes and Fields of Learning</w:t>
      </w:r>
    </w:p>
    <w:p w14:paraId="7ED621AA" w14:textId="467050DF" w:rsidR="00C65B51" w:rsidRPr="008B6C93" w:rsidRDefault="00000000" w:rsidP="00484777">
      <w:pPr>
        <w:keepNext/>
        <w:spacing w:before="0" w:after="120"/>
        <w:jc w:val="both"/>
        <w:rPr>
          <w:rFonts w:ascii="Arial" w:hAnsi="Arial" w:eastAsia="Arial" w:cs="Arial"/>
          <w:sz w:val="20"/>
          <w:szCs w:val="20"/>
        </w:rPr>
      </w:pPr>
      <w:r>
        <w:rPr>
          <w:rFonts w:ascii="Arial" w:hAnsi="Arial" w:eastAsia="Arial" w:cs="Arial"/>
          <w:sz w:val="20"/>
          <w:szCs w:val="20"/>
        </w:rPr>
        <w:t>The following matrix uses proposed broad-field and subfield classifications. Qualification outcomes are coded EO1 to EO6; detailed outcomes and indicative assessment evidence follow the matrix.</w:t>
      </w:r>
    </w:p>
    <w:p w14:paraId="70B16971" w14:textId="77777777" w:rsidR="00C65B51" w:rsidRPr="008B6C93" w:rsidRDefault="00000000">
      <w:pPr>
        <w:spacing w:before="0" w:after="120"/>
        <w:rPr>
          <w:rFonts w:ascii="Arial" w:hAnsi="Arial" w:eastAsia="Arial" w:cs="Arial"/>
          <w:sz w:val="20"/>
          <w:szCs w:val="20"/>
        </w:rPr>
      </w:pPr>
      <w:r>
        <w:rPr>
          <w:rFonts w:ascii="Arial" w:hAnsi="Arial" w:eastAsia="Arial" w:cs="Arial"/>
          <w:sz w:val="20"/>
          <w:szCs w:val="20"/>
        </w:rPr>
        <w:t>Yr = year; Sem = semester; L = NQF level; Cr = credits; NH = notional hours; CH = contact hours. All ten modules are compulsory and at Level 5.</w:t>
      </w:r>
    </w:p>
    <w:tbl>
      <w:tblPr>
        <w:tblW w:w="1488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567"/>
        <w:gridCol w:w="1474"/>
        <w:gridCol w:w="425"/>
        <w:gridCol w:w="567"/>
        <w:gridCol w:w="1814"/>
        <w:gridCol w:w="3033"/>
        <w:gridCol w:w="425"/>
        <w:gridCol w:w="425"/>
        <w:gridCol w:w="709"/>
        <w:gridCol w:w="1417"/>
        <w:gridCol w:w="567"/>
        <w:gridCol w:w="1757"/>
        <w:gridCol w:w="1701"/>
      </w:tblGrid>
      <w:tr w:rsidR="00484777" w:rsidRPr="008B6C93" w14:paraId="3EDCF111" w14:textId="77777777" w:rsidTr="008862B1">
        <w:trPr>
          <w:trHeight w:val="1587" w:hRule="atLeast"/>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vAlign w:val="top"/>
          </w:tcPr>
          <w:p w14:paraId="3C3BA02E"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474" w:type="dxa"/>
            <w:tcBorders>
              <w:top w:val="single" w:sz="4" w:space="0" w:color="000000"/>
              <w:left w:val="single" w:sz="4" w:space="0" w:color="000000"/>
              <w:bottom w:val="single" w:sz="4" w:space="0" w:color="000000"/>
              <w:right w:val="single" w:sz="4" w:space="0" w:color="000000"/>
            </w:tcBorders>
            <w:shd w:val="clear" w:color="auto" w:fill="D9D9D9"/>
            <w:vAlign w:val="top"/>
          </w:tcPr>
          <w:p w14:paraId="567CD209"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425"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0D928E7F"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Year </w:t>
            </w:r>
            <w:r w:rsidRPr="008B6C93">
              <w:rPr>
                <w:rStyle w:val="FootnoteReference"/>
                <w:rFonts w:ascii="Arial" w:hAnsi="Arial" w:eastAsia="Arial" w:cs="Arial"/>
                <w:b/>
                <w:sz w:val="20"/>
                <w:szCs w:val="20"/>
                <w:lang w:val="en-GB"/>
              </w:rPr>
              <w:footnoteReference w:id="8"/>
            </w:r>
          </w:p>
        </w:tc>
        <w:tc>
          <w:tcPr>
            <w:tcW w:w="567"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4A714ED7"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Semester </w:t>
            </w:r>
            <w:r w:rsidRPr="008B6C93">
              <w:rPr>
                <w:rStyle w:val="FootnoteReference"/>
                <w:rFonts w:ascii="Arial" w:hAnsi="Arial" w:eastAsia="Arial" w:cs="Arial"/>
                <w:b/>
                <w:sz w:val="20"/>
                <w:szCs w:val="20"/>
                <w:lang w:val="en-GB"/>
              </w:rPr>
              <w:footnoteReference w:id="9"/>
            </w:r>
          </w:p>
        </w:tc>
        <w:tc>
          <w:tcPr>
            <w:tcW w:w="18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77EA6A7D" w14:textId="77777777" w:rsidR="00484777" w:rsidRPr="008B6C93" w:rsidRDefault="00484777"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3033" w:type="dxa"/>
            <w:tcBorders>
              <w:top w:val="single" w:sz="4" w:space="0" w:color="000000"/>
              <w:left w:val="single" w:sz="4" w:space="0" w:color="000000"/>
              <w:bottom w:val="single" w:sz="4" w:space="0" w:color="000000"/>
              <w:right w:val="single" w:sz="4" w:space="0" w:color="000000"/>
            </w:tcBorders>
            <w:shd w:val="clear" w:color="auto" w:fill="D9D9D9"/>
            <w:vAlign w:val="top"/>
          </w:tcPr>
          <w:p w14:paraId="77043C30"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Learning Outcomes</w:t>
            </w:r>
            <w:r w:rsidRPr="008B6C93">
              <w:rPr>
                <w:rStyle w:val="FootnoteReference"/>
                <w:rFonts w:ascii="Arial" w:hAnsi="Arial" w:eastAsia="Arial" w:cs="Arial"/>
                <w:b/>
                <w:sz w:val="20"/>
                <w:szCs w:val="20"/>
                <w:lang w:val="en-GB"/>
              </w:rPr>
              <w:footnoteReference w:id="10"/>
            </w:r>
            <w:r w:rsidRPr="008B6C93">
              <w:rPr>
                <w:rStyle w:val="None"/>
                <w:rFonts w:ascii="Arial" w:hAnsi="Arial" w:eastAsia="Arial" w:cs="Arial"/>
                <w:b/>
                <w:sz w:val="20"/>
                <w:szCs w:val="20"/>
                <w:lang w:val="en-GB"/>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extDirection w:val="btLr"/>
            <w:vAlign w:val="top"/>
          </w:tcPr>
          <w:p w14:paraId="7885E429" w14:textId="77777777" w:rsidR="00484777" w:rsidRPr="008B6C93" w:rsidRDefault="00484777" w:rsidP="008862B1">
            <w:pPr>
              <w:pStyle w:val="BodyA"/>
              <w:keepNext/>
              <w:spacing w:after="0" w:line="240" w:lineRule="auto" w:before="0"/>
              <w:ind w:left="0" w:right="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NQF Level</w:t>
            </w:r>
          </w:p>
        </w:tc>
        <w:tc>
          <w:tcP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extDirection w:val="btLr"/>
            <w:vAlign w:val="top"/>
          </w:tcPr>
          <w:p w14:paraId="438EFA4C" w14:textId="77777777" w:rsidR="00484777" w:rsidRPr="008B6C93" w:rsidRDefault="00484777" w:rsidP="008862B1">
            <w:pPr>
              <w:pStyle w:val="BodyA"/>
              <w:keepNext/>
              <w:spacing w:after="0" w:line="240" w:lineRule="auto" w:before="0"/>
              <w:ind w:left="0" w:right="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709"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5F2503C2"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17" w:type="dxa"/>
            <w:tcBorders>
              <w:top w:val="single" w:sz="4" w:space="0" w:color="000000"/>
              <w:left w:val="single" w:sz="4" w:space="0" w:color="000000"/>
              <w:bottom w:val="single" w:sz="4" w:space="0" w:color="000000"/>
              <w:right w:val="single" w:sz="4" w:space="0" w:color="000000"/>
            </w:tcBorders>
            <w:shd w:val="clear" w:color="auto" w:fill="D9D9D9"/>
            <w:vAlign w:val="top"/>
          </w:tcPr>
          <w:p w14:paraId="2A0E14A0"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567"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793A0E38"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c>
          <w:tcPr>
            <w:tcW w:w="1757" w:type="dxa"/>
            <w:tcBorders>
              <w:top w:val="single" w:sz="4" w:space="0" w:color="000000"/>
              <w:left w:val="single" w:sz="4" w:space="0" w:color="000000"/>
              <w:bottom w:val="single" w:sz="4" w:space="0" w:color="000000"/>
              <w:right w:val="single" w:sz="4" w:space="0" w:color="000000"/>
            </w:tcBorders>
            <w:shd w:val="clear" w:color="auto" w:fill="D9D9D9"/>
            <w:vAlign w:val="top"/>
          </w:tcPr>
          <w:p w14:paraId="43408137"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Field</w:t>
            </w:r>
            <w:r w:rsidRPr="008B6C93">
              <w:rPr>
                <w:rStyle w:val="FootnoteReference"/>
                <w:rFonts w:ascii="Arial" w:hAnsi="Arial" w:eastAsia="Arial" w:cs="Arial"/>
                <w:b/>
                <w:sz w:val="20"/>
                <w:szCs w:val="20"/>
                <w:lang w:val="en-GB"/>
              </w:rPr>
              <w:footnoteReference w:id="11"/>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top"/>
          </w:tcPr>
          <w:p w14:paraId="1CA9F306"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Sub-Field</w:t>
            </w:r>
            <w:r w:rsidRPr="008B6C93">
              <w:rPr>
                <w:rStyle w:val="FootnoteReference"/>
                <w:rFonts w:ascii="Arial" w:hAnsi="Arial" w:eastAsia="Arial" w:cs="Arial"/>
                <w:b/>
                <w:sz w:val="20"/>
                <w:szCs w:val="20"/>
                <w:lang w:val="en-GB"/>
              </w:rPr>
              <w:footnoteReference w:id="12"/>
            </w:r>
            <w:r w:rsidRPr="008B6C93">
              <w:rPr>
                <w:rStyle w:val="None"/>
                <w:rFonts w:ascii="Arial" w:hAnsi="Arial" w:eastAsia="Arial" w:cs="Arial"/>
                <w:b/>
                <w:sz w:val="20"/>
                <w:szCs w:val="20"/>
                <w:lang w:val="en-GB"/>
              </w:rPr>
              <w:t xml:space="preserve"> </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Analyse audience and purpose to select an appropriate academic or workplace communication format.</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Communication Studies and Language</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English communication</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Explain how people, processes, data and technology interact in an organisational information system.</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Physical, Mathematical and Computer Sciences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Information systems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MEPR-5103</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 Environmental Principles and Regulation</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Interpret mining environmental interactions and applicable governance requirements in operational cases.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Agriculture and Nature Conservation</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 Environmental Management</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ESDM-5104</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Environmental Sampling and Data Management</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Plan supervised sampling and produce traceable environmental datasets suitable for interpretation.</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Agriculture and Nature Conservation</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 Environmental Management</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MPPC-5105</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 Pollution Prevention and Control</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Select practical pollution prevention measures using process information and environmental risk evidence.</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Agriculture and Nature Conservation</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 Environmental Management</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BEHM-5206</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Biodiversity and Habitat Management</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Prepare practical biodiversity protection measures within an approved mine management framework.</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MEPR-5103</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Agriculture and Nature Conservation</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 Environmental Management</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MWTM-5207</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 Water and Tailings Monitoring</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Interpret water and tailings monitoring results and escalate deviations without exceeding technical authority.</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ESDM-5104, MPPC-5105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Agriculture and Nature Conservation</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 Environmental Management</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ERIA-5208</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Environmental Risk and Incident Analysis</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Analyse environmental incidents and propose evidence-based corrective actions.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MEPR-5103, MPPC-5105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Agriculture and Nature Conservation</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 Environmental Management</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EMAR-5209</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Environmental Management Auditing and Reporting</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Conduct a bounded internal review of environmental records and report substantiated findings.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MEPR-5103, ESDM-5104</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Agriculture and Nature Conservation</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 Environmental Management</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IEMP-5210</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Mine Environmental Management Project</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Develop a coherent environmental management response to a mine operating scenario.</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MEPR-5103, ESDM-5104, MPPC-5105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Agriculture and Nature Conservation</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 Environmental Management</w:t>
            </w:r>
          </w:p>
        </w:tc>
      </w:tr>
    </w:tbl>
    <w:p w14:paraId="5E53A1A1" w14:textId="77777777" w:rsidR="00FF096D" w:rsidRPr="008B6C93" w:rsidRDefault="00FF096D">
      <w:pPr>
        <w:spacing w:before="0" w:after="120"/>
        <w:rPr>
          <w:rFonts w:ascii="Arial" w:hAnsi="Arial" w:eastAsia="Arial" w:cs="Arial"/>
          <w:sz w:val="20"/>
          <w:szCs w:val="20"/>
        </w:rPr>
        <w:sectPr w:rsidR="00FF096D" w:rsidRPr="008B6C93">
          <w:pgSz w:w="16838" w:h="11906" w:orient="landscape"/>
          <w:pgMar w:top="850" w:right="907" w:bottom="850" w:left="907" w:header="397" w:footer="397" w:gutter="0"/>
          <w:cols w:space="720"/>
          <w:docGrid w:linePitch="360"/>
        </w:sectPr>
      </w:pPr>
    </w:p>
    <w:p w14:paraId="61A0489C" w14:textId="6E27D45E" w:rsidR="00FF096D" w:rsidRPr="008B6C93" w:rsidRDefault="00FF096D">
      <w:pPr>
        <w:keepNext/>
        <w:spacing w:before="0" w:after="120"/>
        <w:rPr>
          <w:rFonts w:ascii="Arial" w:hAnsi="Arial" w:eastAsia="Arial" w:cs="Arial"/>
          <w:b/>
          <w:bCs/>
          <w:sz w:val="20"/>
          <w:szCs w:val="20"/>
        </w:rPr>
      </w:pPr>
      <w:r w:rsidRPr="008B6C93">
        <w:rPr>
          <w:rFonts w:ascii="Arial" w:hAnsi="Arial" w:eastAsia="Arial" w:cs="Arial"/>
          <w:b/>
          <w:bCs/>
          <w:sz w:val="20"/>
          <w:szCs w:val="20"/>
        </w:rPr>
        <w:t>Detailed</w:t>
      </w:r>
      <w:r w:rsidR="00594976" w:rsidRPr="008B6C93">
        <w:rPr>
          <w:rFonts w:ascii="Arial" w:hAnsi="Arial" w:eastAsia="Arial" w:cs="Arial"/>
          <w:b/>
          <w:bCs/>
          <w:sz w:val="20"/>
          <w:szCs w:val="20"/>
        </w:rPr>
        <w:t xml:space="preserve"> Outcomes of Learning </w:t>
      </w:r>
    </w:p>
    <w:tbl>
      <w:tblPr>
        <w:tblW w:w="10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1474"/>
        <w:gridCol w:w="1814"/>
        <w:gridCol w:w="3685"/>
        <w:gridCol w:w="1247"/>
        <w:gridCol w:w="850"/>
        <w:gridCol w:w="992"/>
      </w:tblGrid>
      <w:tr w:rsidR="00374014" w:rsidRPr="008B6C93" w14:paraId="3C18A14A" w14:textId="0FD14FEE" w:rsidTr="00374014">
        <w:trPr>
          <w:tblHeader/>
        </w:trPr>
        <w:tc>
          <w:tcPr>
            <w:tcW w:w="1474" w:type="dxa"/>
            <w:tcBorders>
              <w:top w:val="single" w:sz="4" w:space="0" w:color="000000"/>
              <w:left w:val="single" w:sz="4" w:space="0" w:color="000000"/>
              <w:bottom w:val="single" w:sz="4" w:space="0" w:color="000000"/>
              <w:right w:val="single" w:sz="4" w:space="0" w:color="000000"/>
            </w:tcBorders>
            <w:shd w:val="clear" w:color="auto" w:fill="D9D9D9"/>
            <w:vAlign w:val="top"/>
          </w:tcPr>
          <w:p w14:paraId="5D0E66DB"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 xml:space="preserve">Code </w:t>
            </w:r>
          </w:p>
        </w:tc>
        <w:tc>
          <w:tcPr>
            <w:tcW w:w="18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0C8CC5C4"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 xml:space="preserve">Course Title </w:t>
            </w:r>
          </w:p>
        </w:tc>
        <w:tc>
          <w:tcPr>
            <w:tcW w:w="3685" w:type="dxa"/>
            <w:tcBorders>
              <w:top w:val="single" w:sz="4" w:space="0" w:color="000000"/>
              <w:left w:val="single" w:sz="4" w:space="0" w:color="000000"/>
              <w:bottom w:val="single" w:sz="4" w:space="0" w:color="000000"/>
              <w:right w:val="single" w:sz="4" w:space="0" w:color="000000"/>
            </w:tcBorders>
            <w:shd w:val="clear" w:color="auto" w:fill="D9D9D9"/>
            <w:vAlign w:val="top"/>
          </w:tcPr>
          <w:p w14:paraId="0F8B9A64" w14:textId="77777777" w:rsidR="00374014" w:rsidRPr="008B6C93" w:rsidRDefault="00374014" w:rsidP="008862B1">
            <w:pPr>
              <w:keepNext/>
              <w:spacing w:line="240" w:lineRule="auto" w:before="0" w:after="0"/>
              <w:contextualSpacing/>
              <w:jc w:val="left"/>
              <w:rPr>
                <w:rFonts w:ascii="Arial" w:hAnsi="Arial" w:eastAsia="Arial" w:cs="Arial"/>
                <w:b/>
                <w:bCs/>
                <w:sz w:val="20"/>
                <w:szCs w:val="20"/>
              </w:rPr>
            </w:pPr>
            <w:r w:rsidRPr="008B6C93">
              <w:rPr>
                <w:rFonts w:ascii="Arial" w:hAnsi="Arial" w:eastAsia="Arial" w:cs="Arial"/>
                <w:b/>
                <w:bCs/>
                <w:sz w:val="20"/>
                <w:szCs w:val="20"/>
              </w:rPr>
              <w:t>Outcomes of Learning</w:t>
            </w:r>
          </w:p>
          <w:p w14:paraId="79AEABEA" w14:textId="77777777" w:rsidR="00374014" w:rsidRPr="008B6C93" w:rsidRDefault="00374014" w:rsidP="008862B1">
            <w:pPr>
              <w:keepNext/>
              <w:spacing w:line="240" w:lineRule="auto" w:before="0" w:after="0"/>
              <w:contextualSpacing/>
              <w:jc w:val="left"/>
              <w:rPr>
                <w:rFonts w:ascii="Arial" w:hAnsi="Arial" w:eastAsia="Arial" w:cs="Arial"/>
                <w:i/>
                <w:iCs/>
                <w:sz w:val="20"/>
                <w:szCs w:val="20"/>
              </w:rPr>
            </w:pPr>
            <w:r w:rsidRPr="008B6C93">
              <w:rPr>
                <w:rFonts w:ascii="Arial" w:hAnsi="Arial" w:eastAsia="Arial" w:cs="Arial"/>
                <w:b/>
                <w:i/>
                <w:iCs/>
                <w:sz w:val="20"/>
                <w:szCs w:val="20"/>
              </w:rPr>
              <w:t>Upon completing the course, students will be able to:</w:t>
            </w:r>
          </w:p>
        </w:tc>
        <w:tc>
          <w:tcPr>
            <w:tcW w:w="1247" w:type="dxa"/>
            <w:tcBorders>
              <w:top w:val="single" w:sz="4" w:space="0" w:color="000000"/>
              <w:left w:val="single" w:sz="4" w:space="0" w:color="000000"/>
              <w:bottom w:val="single" w:sz="4" w:space="0" w:color="000000"/>
              <w:right w:val="single" w:sz="4" w:space="0" w:color="000000"/>
            </w:tcBorders>
            <w:shd w:val="clear" w:color="auto" w:fill="D9D9D9"/>
            <w:vAlign w:val="top"/>
          </w:tcPr>
          <w:p w14:paraId="3D063C0D" w14:textId="77777777" w:rsidR="00374014" w:rsidRPr="008B6C93" w:rsidRDefault="00374014" w:rsidP="008862B1">
            <w:pPr>
              <w:keepNext/>
              <w:spacing w:line="240" w:lineRule="auto" w:before="0" w:after="0"/>
              <w:contextualSpacing/>
              <w:jc w:val="left"/>
              <w:rPr>
                <w:rFonts w:ascii="Arial" w:hAnsi="Arial" w:eastAsia="Arial" w:cs="Arial"/>
                <w:b/>
                <w:bCs/>
                <w:sz w:val="20"/>
                <w:szCs w:val="20"/>
              </w:rPr>
            </w:pPr>
            <w:r w:rsidRPr="008B6C93">
              <w:rPr>
                <w:rFonts w:ascii="Arial" w:hAnsi="Arial" w:eastAsia="Arial" w:cs="Arial"/>
                <w:b/>
                <w:bCs/>
                <w:sz w:val="20"/>
                <w:szCs w:val="20"/>
              </w:rPr>
              <w:t>Pre-</w:t>
            </w:r>
          </w:p>
          <w:p w14:paraId="333A84EE"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szCs w:val="20"/>
              </w:rPr>
              <w:t>requisites</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670A7FDE" w14:textId="77777777" w:rsidR="00374014" w:rsidRPr="008B6C93" w:rsidRDefault="00374014" w:rsidP="00374014">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Level</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18D84696" w14:textId="77777777" w:rsidR="00374014" w:rsidRPr="008B6C93" w:rsidRDefault="00374014" w:rsidP="00374014">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Credits</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ECAW-5101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English for Communication and Academic Writing</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Analyse audience and purpose to select an appropriate academic or workplace communication format.</w:t>
            </w:r>
          </w:p>
          <w:p>
            <w:pPr>
              <w:tabs>
                <w:tab w:pos="170" w:val="left"/>
              </w:tabs>
              <w:spacing w:before="0" w:after="0"/>
              <w:ind w:left="170" w:hanging="170"/>
            </w:pPr>
            <w:r>
              <w:rPr>
                <w:rFonts w:ascii="Arial" w:hAnsi="Arial" w:eastAsia="Arial" w:cs="Arial"/>
                <w:b w:val="0"/>
                <w:sz w:val="20"/>
                <w:szCs w:val="20"/>
              </w:rPr>
              <w:t>•</w:t>
              <w:tab/>
              <w:t>Locate and appraise sources using relevance, authority and corroboration checks.</w:t>
            </w:r>
          </w:p>
          <w:p>
            <w:pPr>
              <w:tabs>
                <w:tab w:pos="170" w:val="left"/>
              </w:tabs>
              <w:spacing w:before="0" w:after="0"/>
              <w:ind w:left="170" w:hanging="170"/>
            </w:pPr>
            <w:r>
              <w:rPr>
                <w:rFonts w:ascii="Arial" w:hAnsi="Arial" w:eastAsia="Arial" w:cs="Arial"/>
                <w:b w:val="0"/>
                <w:sz w:val="20"/>
                <w:szCs w:val="20"/>
              </w:rPr>
              <w:t>•</w:t>
              <w:tab/>
              <w:t>Construct a supported argument using accurate paragraph structure, evidence and consistent referencing.</w:t>
            </w:r>
          </w:p>
          <w:p>
            <w:pPr>
              <w:tabs>
                <w:tab w:pos="170" w:val="left"/>
              </w:tabs>
              <w:spacing w:before="0" w:after="0"/>
              <w:ind w:left="170" w:hanging="170"/>
            </w:pPr>
            <w:r>
              <w:rPr>
                <w:rFonts w:ascii="Arial" w:hAnsi="Arial" w:eastAsia="Arial" w:cs="Arial"/>
                <w:b w:val="0"/>
                <w:sz w:val="20"/>
                <w:szCs w:val="20"/>
              </w:rPr>
              <w:t>•</w:t>
              <w:tab/>
              <w:t>Deliver an accessible oral briefing and respond to questions using relevant evidence.</w:t>
            </w:r>
          </w:p>
          <w:p>
            <w:pPr>
              <w:tabs>
                <w:tab w:pos="170" w:val="left"/>
              </w:tabs>
              <w:spacing w:before="0" w:after="0"/>
              <w:ind w:left="170" w:hanging="170"/>
            </w:pPr>
            <w:r>
              <w:rPr>
                <w:rFonts w:ascii="Arial" w:hAnsi="Arial" w:eastAsia="Arial" w:cs="Arial"/>
                <w:b w:val="0"/>
                <w:sz w:val="20"/>
                <w:szCs w:val="20"/>
              </w:rPr>
              <w:t>•</w:t>
              <w:tab/>
              <w:t>Edit a report for clarity, grammar and ethical attribution, declaring any permitted AI assistance.</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PISY-5102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Principles of Information Systems</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how people, processes, data and technology interact in an organisational information system.</w:t>
            </w:r>
          </w:p>
          <w:p>
            <w:pPr>
              <w:tabs>
                <w:tab w:pos="170" w:val="left"/>
              </w:tabs>
              <w:spacing w:before="0" w:after="0"/>
              <w:ind w:left="170" w:hanging="170"/>
            </w:pPr>
            <w:r>
              <w:rPr>
                <w:rFonts w:ascii="Arial" w:hAnsi="Arial" w:eastAsia="Arial" w:cs="Arial"/>
                <w:b w:val="0"/>
                <w:sz w:val="20"/>
                <w:szCs w:val="20"/>
              </w:rPr>
              <w:t>•</w:t>
              <w:tab/>
              <w:t>Organise and analyse a small dataset using a spreadsheet and document its quality checks.</w:t>
            </w:r>
          </w:p>
          <w:p>
            <w:pPr>
              <w:tabs>
                <w:tab w:pos="170" w:val="left"/>
              </w:tabs>
              <w:spacing w:before="0" w:after="0"/>
              <w:ind w:left="170" w:hanging="170"/>
            </w:pPr>
            <w:r>
              <w:rPr>
                <w:rFonts w:ascii="Arial" w:hAnsi="Arial" w:eastAsia="Arial" w:cs="Arial"/>
                <w:b w:val="0"/>
                <w:sz w:val="20"/>
                <w:szCs w:val="20"/>
              </w:rPr>
              <w:t>•</w:t>
              <w:tab/>
              <w:t>Evaluate digital information and AI-generated outputs by checking provenance, evidence, bias and fitness for purpose.</w:t>
            </w:r>
          </w:p>
          <w:p>
            <w:pPr>
              <w:tabs>
                <w:tab w:pos="170" w:val="left"/>
              </w:tabs>
              <w:spacing w:before="0" w:after="0"/>
              <w:ind w:left="170" w:hanging="170"/>
            </w:pPr>
            <w:r>
              <w:rPr>
                <w:rFonts w:ascii="Arial" w:hAnsi="Arial" w:eastAsia="Arial" w:cs="Arial"/>
                <w:b w:val="0"/>
                <w:sz w:val="20"/>
                <w:szCs w:val="20"/>
              </w:rPr>
              <w:t>•</w:t>
              <w:tab/>
              <w:t>Apply cybersecurity controls in a training environment, including secure authentication, phishing recognition, updates, backups and incident reporting.</w:t>
            </w:r>
          </w:p>
          <w:p>
            <w:pPr>
              <w:tabs>
                <w:tab w:pos="170" w:val="left"/>
              </w:tabs>
              <w:spacing w:before="0" w:after="0"/>
              <w:ind w:left="170" w:hanging="170"/>
            </w:pPr>
            <w:r>
              <w:rPr>
                <w:rFonts w:ascii="Arial" w:hAnsi="Arial" w:eastAsia="Arial" w:cs="Arial"/>
                <w:b w:val="0"/>
                <w:sz w:val="20"/>
                <w:szCs w:val="20"/>
              </w:rPr>
              <w:t>•</w:t>
              <w:tab/>
              <w:t>Propose a responsible information-system improvement that protects personal information and records human accountability for AI-assisted decisions.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MEPR-5103</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Mine Environmental Principles and Regulation</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how mining activities alter linked physical, biological and social systems.</w:t>
            </w:r>
          </w:p>
          <w:p>
            <w:pPr>
              <w:tabs>
                <w:tab w:pos="170" w:val="left"/>
              </w:tabs>
              <w:spacing w:before="0" w:after="0"/>
              <w:ind w:left="170" w:hanging="170"/>
            </w:pPr>
            <w:r>
              <w:rPr>
                <w:rFonts w:ascii="Arial" w:hAnsi="Arial" w:eastAsia="Arial" w:cs="Arial"/>
                <w:b w:val="0"/>
                <w:sz w:val="20"/>
                <w:szCs w:val="20"/>
              </w:rPr>
              <w:t>•</w:t>
              <w:tab/>
              <w:t>Identify applicable obligations and distinguish legal requirements from voluntary guidance in a supplied case.</w:t>
            </w:r>
          </w:p>
          <w:p>
            <w:pPr>
              <w:tabs>
                <w:tab w:pos="170" w:val="left"/>
              </w:tabs>
              <w:spacing w:before="0" w:after="0"/>
              <w:ind w:left="170" w:hanging="170"/>
            </w:pPr>
            <w:r>
              <w:rPr>
                <w:rFonts w:ascii="Arial" w:hAnsi="Arial" w:eastAsia="Arial" w:cs="Arial"/>
                <w:b w:val="0"/>
                <w:sz w:val="20"/>
                <w:szCs w:val="20"/>
              </w:rPr>
              <w:t>•</w:t>
              <w:tab/>
              <w:t>Translate conditions in an approved environmental management plan into assigned operational tasks.</w:t>
            </w:r>
          </w:p>
          <w:p>
            <w:pPr>
              <w:tabs>
                <w:tab w:pos="170" w:val="left"/>
              </w:tabs>
              <w:spacing w:before="0" w:after="0"/>
              <w:ind w:left="170" w:hanging="170"/>
            </w:pPr>
            <w:r>
              <w:rPr>
                <w:rFonts w:ascii="Arial" w:hAnsi="Arial" w:eastAsia="Arial" w:cs="Arial"/>
                <w:b w:val="0"/>
                <w:sz w:val="20"/>
                <w:szCs w:val="20"/>
              </w:rPr>
              <w:t>•</w:t>
              <w:tab/>
              <w:t>Explain when an issue must be referred to a specialist or competent authority.</w:t>
            </w:r>
          </w:p>
          <w:p>
            <w:pPr>
              <w:tabs>
                <w:tab w:pos="170" w:val="left"/>
              </w:tabs>
              <w:spacing w:before="0" w:after="0"/>
              <w:ind w:left="170" w:hanging="170"/>
            </w:pPr>
            <w:r>
              <w:rPr>
                <w:rFonts w:ascii="Arial" w:hAnsi="Arial" w:eastAsia="Arial" w:cs="Arial"/>
                <w:b w:val="0"/>
                <w:sz w:val="20"/>
                <w:szCs w:val="20"/>
              </w:rPr>
              <w:t>•</w:t>
              <w:tab/>
              <w:t>Prepare an auditable compliance-task register that separates verified obligations from matters requiring clarification.</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ESDM-5104</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Environmental Sampling and Data Management</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Select a sampling approach appropriate to the stated monitoring objective and site risks.</w:t>
            </w:r>
          </w:p>
          <w:p>
            <w:pPr>
              <w:tabs>
                <w:tab w:pos="170" w:val="left"/>
              </w:tabs>
              <w:spacing w:before="0" w:after="0"/>
              <w:ind w:left="170" w:hanging="170"/>
            </w:pPr>
            <w:r>
              <w:rPr>
                <w:rFonts w:ascii="Arial" w:hAnsi="Arial" w:eastAsia="Arial" w:cs="Arial"/>
                <w:b w:val="0"/>
                <w:sz w:val="20"/>
                <w:szCs w:val="20"/>
              </w:rPr>
              <w:t>•</w:t>
              <w:tab/>
              <w:t>Carry out supervised sampling with calibration checks, labelling and chain-of-custody records.</w:t>
            </w:r>
          </w:p>
          <w:p>
            <w:pPr>
              <w:tabs>
                <w:tab w:pos="170" w:val="left"/>
              </w:tabs>
              <w:spacing w:before="0" w:after="0"/>
              <w:ind w:left="170" w:hanging="170"/>
            </w:pPr>
            <w:r>
              <w:rPr>
                <w:rFonts w:ascii="Arial" w:hAnsi="Arial" w:eastAsia="Arial" w:cs="Arial"/>
                <w:b w:val="0"/>
                <w:sz w:val="20"/>
                <w:szCs w:val="20"/>
              </w:rPr>
              <w:t>•</w:t>
              <w:tab/>
              <w:t>Check datasets for missing values, inconsistent units and quality-control failures.</w:t>
            </w:r>
          </w:p>
          <w:p>
            <w:pPr>
              <w:tabs>
                <w:tab w:pos="170" w:val="left"/>
              </w:tabs>
              <w:spacing w:before="0" w:after="0"/>
              <w:ind w:left="170" w:hanging="170"/>
            </w:pPr>
            <w:r>
              <w:rPr>
                <w:rFonts w:ascii="Arial" w:hAnsi="Arial" w:eastAsia="Arial" w:cs="Arial"/>
                <w:b w:val="0"/>
                <w:sz w:val="20"/>
                <w:szCs w:val="20"/>
              </w:rPr>
              <w:t>•</w:t>
              <w:tab/>
              <w:t>Prepare tables, graphs and concise interpretations that acknowledge sampling limitations.</w:t>
            </w:r>
          </w:p>
          <w:p>
            <w:pPr>
              <w:tabs>
                <w:tab w:pos="170" w:val="left"/>
              </w:tabs>
              <w:spacing w:before="0" w:after="0"/>
              <w:ind w:left="170" w:hanging="170"/>
            </w:pPr>
            <w:r>
              <w:rPr>
                <w:rFonts w:ascii="Arial" w:hAnsi="Arial" w:eastAsia="Arial" w:cs="Arial"/>
                <w:b w:val="0"/>
                <w:sz w:val="20"/>
                <w:szCs w:val="20"/>
              </w:rPr>
              <w:t>•</w:t>
              <w:tab/>
              <w:t>Justify corrective steps when sample integrity or measurement reliability is compromised.</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14</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MPPC-5105</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Mine Pollution Prevention and Control</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pollutant sources, pathways and receptors for a supplied mine process.</w:t>
            </w:r>
          </w:p>
          <w:p>
            <w:pPr>
              <w:tabs>
                <w:tab w:pos="170" w:val="left"/>
              </w:tabs>
              <w:spacing w:before="0" w:after="0"/>
              <w:ind w:left="170" w:hanging="170"/>
            </w:pPr>
            <w:r>
              <w:rPr>
                <w:rFonts w:ascii="Arial" w:hAnsi="Arial" w:eastAsia="Arial" w:cs="Arial"/>
                <w:b w:val="0"/>
                <w:sz w:val="20"/>
                <w:szCs w:val="20"/>
              </w:rPr>
              <w:t>•</w:t>
              <w:tab/>
              <w:t>Calculate simple water and material balances using specified operating data.</w:t>
            </w:r>
          </w:p>
          <w:p>
            <w:pPr>
              <w:tabs>
                <w:tab w:pos="170" w:val="left"/>
              </w:tabs>
              <w:spacing w:before="0" w:after="0"/>
              <w:ind w:left="170" w:hanging="170"/>
            </w:pPr>
            <w:r>
              <w:rPr>
                <w:rFonts w:ascii="Arial" w:hAnsi="Arial" w:eastAsia="Arial" w:cs="Arial"/>
                <w:b w:val="0"/>
                <w:sz w:val="20"/>
                <w:szCs w:val="20"/>
              </w:rPr>
              <w:t>•</w:t>
              <w:tab/>
              <w:t>Compare practicable controls for dust, noise, effluent and waste against stated performance criteria.</w:t>
            </w:r>
          </w:p>
          <w:p>
            <w:pPr>
              <w:tabs>
                <w:tab w:pos="170" w:val="left"/>
              </w:tabs>
              <w:spacing w:before="0" w:after="0"/>
              <w:ind w:left="170" w:hanging="170"/>
            </w:pPr>
            <w:r>
              <w:rPr>
                <w:rFonts w:ascii="Arial" w:hAnsi="Arial" w:eastAsia="Arial" w:cs="Arial"/>
                <w:b w:val="0"/>
                <w:sz w:val="20"/>
                <w:szCs w:val="20"/>
              </w:rPr>
              <w:t>•</w:t>
              <w:tab/>
              <w:t>Prepare an inspection checklist and escalation procedure for control failures.</w:t>
            </w:r>
          </w:p>
          <w:p>
            <w:pPr>
              <w:tabs>
                <w:tab w:pos="170" w:val="left"/>
              </w:tabs>
              <w:spacing w:before="0" w:after="0"/>
              <w:ind w:left="170" w:hanging="170"/>
            </w:pPr>
            <w:r>
              <w:rPr>
                <w:rFonts w:ascii="Arial" w:hAnsi="Arial" w:eastAsia="Arial" w:cs="Arial"/>
                <w:b w:val="0"/>
                <w:sz w:val="20"/>
                <w:szCs w:val="20"/>
              </w:rPr>
              <w:t>•</w:t>
              <w:tab/>
              <w:t>Justify a pollution-control recommendation using feasibility, effectiveness and residual-risk evidence.</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14</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BEHM-5206</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Biodiversity and Habitat Management</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Interpret baseline habitat information and identify sensitive receptors.</w:t>
            </w:r>
          </w:p>
          <w:p>
            <w:pPr>
              <w:tabs>
                <w:tab w:pos="170" w:val="left"/>
              </w:tabs>
              <w:spacing w:before="0" w:after="0"/>
              <w:ind w:left="170" w:hanging="170"/>
            </w:pPr>
            <w:r>
              <w:rPr>
                <w:rFonts w:ascii="Arial" w:hAnsi="Arial" w:eastAsia="Arial" w:cs="Arial"/>
                <w:b w:val="0"/>
                <w:sz w:val="20"/>
                <w:szCs w:val="20"/>
              </w:rPr>
              <w:t>•</w:t>
              <w:tab/>
              <w:t>Apply the mitigation hierarchy to a proposed operational activity.</w:t>
            </w:r>
          </w:p>
          <w:p>
            <w:pPr>
              <w:tabs>
                <w:tab w:pos="170" w:val="left"/>
              </w:tabs>
              <w:spacing w:before="0" w:after="0"/>
              <w:ind w:left="170" w:hanging="170"/>
            </w:pPr>
            <w:r>
              <w:rPr>
                <w:rFonts w:ascii="Arial" w:hAnsi="Arial" w:eastAsia="Arial" w:cs="Arial"/>
                <w:b w:val="0"/>
                <w:sz w:val="20"/>
                <w:szCs w:val="20"/>
              </w:rPr>
              <w:t>•</w:t>
              <w:tab/>
              <w:t>Select measurable indicators for habitat condition and disturbance.</w:t>
            </w:r>
          </w:p>
          <w:p>
            <w:pPr>
              <w:tabs>
                <w:tab w:pos="170" w:val="left"/>
              </w:tabs>
              <w:spacing w:before="0" w:after="0"/>
              <w:ind w:left="170" w:hanging="170"/>
            </w:pPr>
            <w:r>
              <w:rPr>
                <w:rFonts w:ascii="Arial" w:hAnsi="Arial" w:eastAsia="Arial" w:cs="Arial"/>
                <w:b w:val="0"/>
                <w:sz w:val="20"/>
                <w:szCs w:val="20"/>
              </w:rPr>
              <w:t>•</w:t>
              <w:tab/>
              <w:t>Prepare a supervised action schedule with responsibilities and reporting points.</w:t>
            </w:r>
          </w:p>
          <w:p>
            <w:pPr>
              <w:tabs>
                <w:tab w:pos="170" w:val="left"/>
              </w:tabs>
              <w:spacing w:before="0" w:after="0"/>
              <w:ind w:left="170" w:hanging="170"/>
            </w:pPr>
            <w:r>
              <w:rPr>
                <w:rFonts w:ascii="Arial" w:hAnsi="Arial" w:eastAsia="Arial" w:cs="Arial"/>
                <w:b w:val="0"/>
                <w:sz w:val="20"/>
                <w:szCs w:val="20"/>
              </w:rPr>
              <w:t>•</w:t>
              <w:tab/>
              <w:t>Explain how proposed protection measures address uncertainty and avoid unsupported claims about ecological recovery.</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MEPR-5103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MWTM-5207</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Mine Water and Tailings Monitoring</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water quality and tailings risks across the operating lifecycle.</w:t>
            </w:r>
          </w:p>
          <w:p>
            <w:pPr>
              <w:tabs>
                <w:tab w:pos="170" w:val="left"/>
              </w:tabs>
              <w:spacing w:before="0" w:after="0"/>
              <w:ind w:left="170" w:hanging="170"/>
            </w:pPr>
            <w:r>
              <w:rPr>
                <w:rFonts w:ascii="Arial" w:hAnsi="Arial" w:eastAsia="Arial" w:cs="Arial"/>
                <w:b w:val="0"/>
                <w:sz w:val="20"/>
                <w:szCs w:val="20"/>
              </w:rPr>
              <w:t>•</w:t>
              <w:tab/>
              <w:t>Analyse supplied monitoring trends against approved trigger levels.</w:t>
            </w:r>
          </w:p>
          <w:p>
            <w:pPr>
              <w:tabs>
                <w:tab w:pos="170" w:val="left"/>
              </w:tabs>
              <w:spacing w:before="0" w:after="0"/>
              <w:ind w:left="170" w:hanging="170"/>
            </w:pPr>
            <w:r>
              <w:rPr>
                <w:rFonts w:ascii="Arial" w:hAnsi="Arial" w:eastAsia="Arial" w:cs="Arial"/>
                <w:b w:val="0"/>
                <w:sz w:val="20"/>
                <w:szCs w:val="20"/>
              </w:rPr>
              <w:t>•</w:t>
              <w:tab/>
              <w:t>Identify data gaps and observations requiring urgent technical review.</w:t>
            </w:r>
          </w:p>
          <w:p>
            <w:pPr>
              <w:tabs>
                <w:tab w:pos="170" w:val="left"/>
              </w:tabs>
              <w:spacing w:before="0" w:after="0"/>
              <w:ind w:left="170" w:hanging="170"/>
            </w:pPr>
            <w:r>
              <w:rPr>
                <w:rFonts w:ascii="Arial" w:hAnsi="Arial" w:eastAsia="Arial" w:cs="Arial"/>
                <w:b w:val="0"/>
                <w:sz w:val="20"/>
                <w:szCs w:val="20"/>
              </w:rPr>
              <w:t>•</w:t>
              <w:tab/>
              <w:t>Prepare a factual monitoring report with prioritised follow-up actions.</w:t>
            </w:r>
          </w:p>
          <w:p>
            <w:pPr>
              <w:tabs>
                <w:tab w:pos="170" w:val="left"/>
              </w:tabs>
              <w:spacing w:before="0" w:after="0"/>
              <w:ind w:left="170" w:hanging="170"/>
            </w:pPr>
            <w:r>
              <w:rPr>
                <w:rFonts w:ascii="Arial" w:hAnsi="Arial" w:eastAsia="Arial" w:cs="Arial"/>
                <w:b w:val="0"/>
                <w:sz w:val="20"/>
                <w:szCs w:val="20"/>
              </w:rPr>
              <w:t>•</w:t>
              <w:tab/>
              <w:t>Propose additional observations needed to test a monitoring concern while respecting restricted-access controls.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ESDM-5104, MPPC-5105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ERIA-5208</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Environmental Risk and Incident Analysis</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Construct an environmental risk register using stated assessment criteria.</w:t>
            </w:r>
          </w:p>
          <w:p>
            <w:pPr>
              <w:tabs>
                <w:tab w:pos="170" w:val="left"/>
              </w:tabs>
              <w:spacing w:before="0" w:after="0"/>
              <w:ind w:left="170" w:hanging="170"/>
            </w:pPr>
            <w:r>
              <w:rPr>
                <w:rFonts w:ascii="Arial" w:hAnsi="Arial" w:eastAsia="Arial" w:cs="Arial"/>
                <w:b w:val="0"/>
                <w:sz w:val="20"/>
                <w:szCs w:val="20"/>
              </w:rPr>
              <w:t>•</w:t>
              <w:tab/>
              <w:t>Separate immediate causes, contributing conditions and uncertain evidence in an incident case.</w:t>
            </w:r>
          </w:p>
          <w:p>
            <w:pPr>
              <w:tabs>
                <w:tab w:pos="170" w:val="left"/>
              </w:tabs>
              <w:spacing w:before="0" w:after="0"/>
              <w:ind w:left="170" w:hanging="170"/>
            </w:pPr>
            <w:r>
              <w:rPr>
                <w:rFonts w:ascii="Arial" w:hAnsi="Arial" w:eastAsia="Arial" w:cs="Arial"/>
                <w:b w:val="0"/>
                <w:sz w:val="20"/>
                <w:szCs w:val="20"/>
              </w:rPr>
              <w:t>•</w:t>
              <w:tab/>
              <w:t>Select corrective actions that address identified causes and assign verification measures.</w:t>
            </w:r>
          </w:p>
          <w:p>
            <w:pPr>
              <w:tabs>
                <w:tab w:pos="170" w:val="left"/>
              </w:tabs>
              <w:spacing w:before="0" w:after="0"/>
              <w:ind w:left="170" w:hanging="170"/>
            </w:pPr>
            <w:r>
              <w:rPr>
                <w:rFonts w:ascii="Arial" w:hAnsi="Arial" w:eastAsia="Arial" w:cs="Arial"/>
                <w:b w:val="0"/>
                <w:sz w:val="20"/>
                <w:szCs w:val="20"/>
              </w:rPr>
              <w:t>•</w:t>
              <w:tab/>
              <w:t>Communicate incident findings without unsupported causal or compliance claims.</w:t>
            </w:r>
          </w:p>
          <w:p>
            <w:pPr>
              <w:tabs>
                <w:tab w:pos="170" w:val="left"/>
              </w:tabs>
              <w:spacing w:before="0" w:after="0"/>
              <w:ind w:left="170" w:hanging="170"/>
            </w:pPr>
            <w:r>
              <w:rPr>
                <w:rFonts w:ascii="Arial" w:hAnsi="Arial" w:eastAsia="Arial" w:cs="Arial"/>
                <w:b w:val="0"/>
                <w:sz w:val="20"/>
                <w:szCs w:val="20"/>
              </w:rPr>
              <w:t>•</w:t>
              <w:tab/>
              <w:t>Evaluate whether proposed follow-up evidence would establish corrective-action completion.</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MEPR-5103, MPPC-5105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EMAR-5209</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Environmental Management Auditing and Reporting</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Plan an internal review against specified criteria and a defined scope.</w:t>
            </w:r>
          </w:p>
          <w:p>
            <w:pPr>
              <w:tabs>
                <w:tab w:pos="170" w:val="left"/>
              </w:tabs>
              <w:spacing w:before="0" w:after="0"/>
              <w:ind w:left="170" w:hanging="170"/>
            </w:pPr>
            <w:r>
              <w:rPr>
                <w:rFonts w:ascii="Arial" w:hAnsi="Arial" w:eastAsia="Arial" w:cs="Arial"/>
                <w:b w:val="0"/>
                <w:sz w:val="20"/>
                <w:szCs w:val="20"/>
              </w:rPr>
              <w:t>•</w:t>
              <w:tab/>
              <w:t>Trace monitoring results to source records and test completeness.</w:t>
            </w:r>
          </w:p>
          <w:p>
            <w:pPr>
              <w:tabs>
                <w:tab w:pos="170" w:val="left"/>
              </w:tabs>
              <w:spacing w:before="0" w:after="0"/>
              <w:ind w:left="170" w:hanging="170"/>
            </w:pPr>
            <w:r>
              <w:rPr>
                <w:rFonts w:ascii="Arial" w:hAnsi="Arial" w:eastAsia="Arial" w:cs="Arial"/>
                <w:b w:val="0"/>
                <w:sz w:val="20"/>
                <w:szCs w:val="20"/>
              </w:rPr>
              <w:t>•</w:t>
              <w:tab/>
              <w:t>Distinguish substantiated non-conformities, observations and missing evidence.</w:t>
            </w:r>
          </w:p>
          <w:p>
            <w:pPr>
              <w:tabs>
                <w:tab w:pos="170" w:val="left"/>
              </w:tabs>
              <w:spacing w:before="0" w:after="0"/>
              <w:ind w:left="170" w:hanging="170"/>
            </w:pPr>
            <w:r>
              <w:rPr>
                <w:rFonts w:ascii="Arial" w:hAnsi="Arial" w:eastAsia="Arial" w:cs="Arial"/>
                <w:b w:val="0"/>
                <w:sz w:val="20"/>
                <w:szCs w:val="20"/>
              </w:rPr>
              <w:t>•</w:t>
              <w:tab/>
              <w:t>Prepare a corrective-action tracker and a balanced management report.</w:t>
            </w:r>
          </w:p>
          <w:p>
            <w:pPr>
              <w:tabs>
                <w:tab w:pos="170" w:val="left"/>
              </w:tabs>
              <w:spacing w:before="0" w:after="0"/>
              <w:ind w:left="170" w:hanging="170"/>
            </w:pPr>
            <w:r>
              <w:rPr>
                <w:rFonts w:ascii="Arial" w:hAnsi="Arial" w:eastAsia="Arial" w:cs="Arial"/>
                <w:b w:val="0"/>
                <w:sz w:val="20"/>
                <w:szCs w:val="20"/>
              </w:rPr>
              <w:t>•</w:t>
              <w:tab/>
              <w:t>Prioritise review findings using risk, evidence strength and the authority available to act.</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MEPR-5103, ESDM-5104</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IEMP-5210</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Integrated Mine Environmental Management Project</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Analyse the supplied baseline, operating data and stakeholder concerns.</w:t>
            </w:r>
          </w:p>
          <w:p>
            <w:pPr>
              <w:tabs>
                <w:tab w:pos="170" w:val="left"/>
              </w:tabs>
              <w:spacing w:before="0" w:after="0"/>
              <w:ind w:left="170" w:hanging="170"/>
            </w:pPr>
            <w:r>
              <w:rPr>
                <w:rFonts w:ascii="Arial" w:hAnsi="Arial" w:eastAsia="Arial" w:cs="Arial"/>
                <w:b w:val="0"/>
                <w:sz w:val="20"/>
                <w:szCs w:val="20"/>
              </w:rPr>
              <w:t>•</w:t>
              <w:tab/>
              <w:t>Develop a justified control and monitoring schedule with resource estimates.</w:t>
            </w:r>
          </w:p>
          <w:p>
            <w:pPr>
              <w:tabs>
                <w:tab w:pos="170" w:val="left"/>
              </w:tabs>
              <w:spacing w:before="0" w:after="0"/>
              <w:ind w:left="170" w:hanging="170"/>
            </w:pPr>
            <w:r>
              <w:rPr>
                <w:rFonts w:ascii="Arial" w:hAnsi="Arial" w:eastAsia="Arial" w:cs="Arial"/>
                <w:b w:val="0"/>
                <w:sz w:val="20"/>
                <w:szCs w:val="20"/>
              </w:rPr>
              <w:t>•</w:t>
              <w:tab/>
              <w:t>Integrate safety, data quality, responsibilities and escalation arrangements.</w:t>
            </w:r>
          </w:p>
          <w:p>
            <w:pPr>
              <w:tabs>
                <w:tab w:pos="170" w:val="left"/>
              </w:tabs>
              <w:spacing w:before="0" w:after="0"/>
              <w:ind w:left="170" w:hanging="170"/>
            </w:pPr>
            <w:r>
              <w:rPr>
                <w:rFonts w:ascii="Arial" w:hAnsi="Arial" w:eastAsia="Arial" w:cs="Arial"/>
                <w:b w:val="0"/>
                <w:sz w:val="20"/>
                <w:szCs w:val="20"/>
              </w:rPr>
              <w:t>•</w:t>
              <w:tab/>
              <w:t>Present the proposal and revise identified weaknesses using assessment feedback.</w:t>
            </w:r>
          </w:p>
          <w:p>
            <w:pPr>
              <w:tabs>
                <w:tab w:pos="170" w:val="left"/>
              </w:tabs>
              <w:spacing w:before="0" w:after="0"/>
              <w:ind w:left="170" w:hanging="170"/>
            </w:pPr>
            <w:r>
              <w:rPr>
                <w:rFonts w:ascii="Arial" w:hAnsi="Arial" w:eastAsia="Arial" w:cs="Arial"/>
                <w:b w:val="0"/>
                <w:sz w:val="20"/>
                <w:szCs w:val="20"/>
              </w:rPr>
              <w:t>•</w:t>
              <w:tab/>
              <w:t>Evaluate the proposal against agreed environmental objectives and identify residual risks requiring specialist decisions.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MEPR-5103, ESDM-5104, MPPC-5105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16</w:t>
            </w:r>
          </w:p>
        </w:tc>
      </w:tr>
    </w:tbl>
    <w:p w14:paraId="0CCA4BE6" w14:textId="7C3A3F6E" w:rsidR="00FF096D" w:rsidRPr="008B6C93" w:rsidRDefault="00FF096D">
      <w:pPr>
        <w:spacing w:before="0" w:after="120"/>
        <w:rPr>
          <w:rFonts w:ascii="Arial" w:hAnsi="Arial" w:eastAsia="Arial" w:cs="Arial"/>
          <w:sz w:val="20"/>
          <w:szCs w:val="20"/>
        </w:rPr>
        <w:sectPr w:rsidR="00FF096D" w:rsidRPr="008B6C93" w:rsidSect="00374014">
          <w:pgSz w:w="11906" w:h="16838"/>
          <w:pgMar w:top="907" w:right="850" w:bottom="907" w:left="850" w:header="397" w:footer="397" w:gutter="0"/>
          <w:cols w:space="720"/>
          <w:docGrid w:linePitch="360"/>
        </w:sectPr>
      </w:pPr>
      <w:r w:rsidRPr="008B6C93">
        <w:rPr>
          <w:rFonts w:ascii="Arial" w:hAnsi="Arial" w:eastAsia="Arial" w:cs="Arial"/>
          <w:sz w:val="20"/>
          <w:szCs w:val="20"/>
        </w:rPr>
        <w:t xml:space="preserve"> </w:t>
      </w:r>
    </w:p>
    <w:p w14:paraId="47CE6469" w14:textId="436C8185" w:rsidR="00C65B51" w:rsidRPr="008B6C93" w:rsidRDefault="00374014">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 xml:space="preserve">Qualification Mapping and Learning Resources </w:t>
      </w:r>
    </w:p>
    <w:tbl>
      <w:tblPr>
        <w:tblW w:w="148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2268"/>
        <w:gridCol w:w="1276"/>
        <w:gridCol w:w="5103"/>
        <w:gridCol w:w="5670"/>
      </w:tblGrid>
      <w:tr w:rsidR="0020464B" w:rsidRPr="008B6C93" w14:paraId="3DB62935" w14:textId="77777777" w:rsidTr="002601F3">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6CB904A5" w14:textId="77777777" w:rsidR="0020464B" w:rsidRPr="008B6C93" w:rsidRDefault="0020464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2268" w:type="dxa"/>
            <w:tcBorders>
              <w:top w:val="single" w:sz="4" w:space="0" w:color="000000"/>
              <w:left w:val="single" w:sz="4" w:space="0" w:color="000000"/>
              <w:bottom w:val="single" w:sz="4" w:space="0" w:color="000000"/>
              <w:right w:val="single" w:sz="4" w:space="0" w:color="000000"/>
            </w:tcBorders>
            <w:shd w:val="clear" w:color="auto" w:fill="BFBFBF"/>
            <w:vAlign w:val="top"/>
          </w:tcPr>
          <w:p w14:paraId="10F4229C" w14:textId="4ECCF44F" w:rsidR="0020464B" w:rsidRPr="008B6C93" w:rsidRDefault="0020464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Course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00E0671C" w14:textId="344F5393"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Mapping to QOL</w:t>
            </w:r>
          </w:p>
        </w:tc>
        <w:tc>
          <w:tcPr>
            <w:tcW w:w="51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3BE045A2" w14:textId="1F019684"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 xml:space="preserve">Indicating Assessment Evidence </w:t>
            </w:r>
          </w:p>
        </w:tc>
        <w:tc>
          <w:tcPr>
            <w:tcW w:w="567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5DC34FE" w14:textId="435814B5"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 xml:space="preserve">Key Learning Resources (Prescribed and Recommended) </w:t>
            </w:r>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 – English for Communication and Academic Writing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An individually authored referenced report, annotated source appraisal, editing record and oral briefing with questions; retain drafts and source notes.</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10">
              <w:r>
                <w:rPr>
                  <w:rFonts w:ascii="Arial" w:hAnsi="Arial" w:eastAsia="Arial" w:cs="Arial"/>
                  <w:sz w:val="20"/>
                  <w:szCs w:val="20"/>
                </w:rPr>
                <w:t>Grant, T., &amp; Borcherds, R. (2019). Communicating @ work: Boosting your spoken, written and visual impact (4th ed.). Van Schaik.</w:t>
              </w:r>
            </w:hyperlink>
          </w:p>
          <w:p>
            <w:pPr>
              <w:spacing w:after="40" w:line="240" w:lineRule="auto" w:before="40"/>
            </w:pPr>
            <w:hyperlink r:id="rId11">
              <w:r>
                <w:rPr>
                  <w:rFonts w:ascii="Arial" w:hAnsi="Arial" w:eastAsia="Arial" w:cs="Arial"/>
                  <w:sz w:val="20"/>
                  <w:szCs w:val="20"/>
                </w:rPr>
                <w:t>Jonker, B. E., &amp; Mtshelwane, N. D. P. (Eds.). (2021). Developing soft skills for success: A guide for modern professionals. Van Schaik.</w:t>
              </w:r>
            </w:hyperlink>
          </w:p>
          <w:p>
            <w:pPr>
              <w:spacing w:after="40" w:line="240" w:lineRule="auto" w:before="40"/>
            </w:pPr>
            <w:hyperlink r:id="rId12">
              <w:r>
                <w:rPr>
                  <w:rFonts w:ascii="Arial" w:hAnsi="Arial" w:eastAsia="Arial" w:cs="Arial"/>
                  <w:sz w:val="20"/>
                  <w:szCs w:val="20"/>
                </w:rPr>
                <w:t>Smith, J. (2019). Communication at work: A college-to-career guide to success. eCampusOntario.</w:t>
              </w:r>
            </w:hyperlink>
          </w:p>
          <w:p>
            <w:pPr>
              <w:spacing w:after="40" w:line="240" w:lineRule="auto" w:before="40"/>
            </w:pPr>
            <w:hyperlink r:id="rId13">
              <w:r>
                <w:rPr>
                  <w:rFonts w:ascii="Arial" w:hAnsi="Arial" w:eastAsia="Arial" w:cs="Arial"/>
                  <w:sz w:val="20"/>
                  <w:szCs w:val="20"/>
                </w:rPr>
                <w:t>Robinson, M. B., Jerskey, M., &amp; Fulwiler, T. (2021). Writing guide with handbook. OpenStax.</w:t>
              </w:r>
            </w:hyperlink>
          </w:p>
          <w:p>
            <w:pPr>
              <w:spacing w:after="40" w:line="240" w:lineRule="auto" w:before="40"/>
            </w:pPr>
            <w:hyperlink r:id="rId21">
              <w:r>
                <w:rPr>
                  <w:rFonts w:ascii="Arial" w:hAnsi="Arial" w:eastAsia="Arial" w:cs="Arial"/>
                  <w:sz w:val="20"/>
                  <w:szCs w:val="20"/>
                </w:rPr>
                <w:t>Ireton, C., &amp; Posetti, J. (Eds.). (2018). Journalism, “fake news” &amp; disinformation: Handbook for journalism education and training. UNESCO.</w:t>
              </w:r>
            </w:hyperlink>
          </w:p>
          <w:p>
            <w:pPr>
              <w:spacing w:after="40" w:line="240" w:lineRule="auto" w:before="40"/>
            </w:pPr>
            <w:hyperlink r:id="rId15">
              <w:r>
                <w:rPr>
                  <w:rFonts w:ascii="Arial" w:hAnsi="Arial" w:eastAsia="Arial" w:cs="Arial"/>
                  <w:sz w:val="20"/>
                  <w:szCs w:val="20"/>
                </w:rPr>
                <w:t>Sutton, L. B.-M., &amp; le Roux, T. (2025). Internal communication challenges in corporate South Africa after the COVID-19 pandemic. Communicare: Journal for Communication Studies in Africa, 44(3). https://doi.org/10.36615/8qae9f05</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 – Principles of Information Systems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EO2</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A sandbox portfolio containing a validated spreadsheet, workflow diagram, verified AI-output comparison with source log, phishing-response exercise and privacy-aware improvement proposal. Use synthetic data; no real credentials, personal records or live security testing.</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16">
              <w:r>
                <w:rPr>
                  <w:rFonts w:ascii="Arial" w:hAnsi="Arial" w:eastAsia="Arial" w:cs="Arial"/>
                  <w:sz w:val="20"/>
                  <w:szCs w:val="20"/>
                </w:rPr>
                <w:t>LibreOffice Documentation Team. (2024). Getting started guide 24.8. The Document Foundation.</w:t>
              </w:r>
            </w:hyperlink>
          </w:p>
          <w:p>
            <w:pPr>
              <w:spacing w:after="40" w:line="240" w:lineRule="auto" w:before="40"/>
            </w:pPr>
            <w:hyperlink r:id="rId17">
              <w:r>
                <w:rPr>
                  <w:rFonts w:ascii="Arial" w:hAnsi="Arial" w:eastAsia="Arial" w:cs="Arial"/>
                  <w:sz w:val="20"/>
                  <w:szCs w:val="20"/>
                </w:rPr>
                <w:t>Miao, F., Shiohira, K., &amp; Lao, N. (2024). AI competency framework for students. UNESCO. https://doi.org/10.54675/JKJB9835</w:t>
              </w:r>
            </w:hyperlink>
          </w:p>
          <w:p>
            <w:pPr>
              <w:spacing w:after="40" w:line="240" w:lineRule="auto" w:before="40"/>
            </w:pPr>
            <w:hyperlink r:id="rId18">
              <w:r>
                <w:rPr>
                  <w:rFonts w:ascii="Arial" w:hAnsi="Arial" w:eastAsia="Arial" w:cs="Arial"/>
                  <w:sz w:val="20"/>
                  <w:szCs w:val="20"/>
                </w:rPr>
                <w:t>Miao, F., &amp; Holmes, W. (2023). Guidance for generative AI in education and research. UNESCO. https://doi.org/10.54675/EWZM9535</w:t>
              </w:r>
            </w:hyperlink>
          </w:p>
          <w:p>
            <w:pPr>
              <w:spacing w:after="40" w:line="240" w:lineRule="auto" w:before="40"/>
            </w:pPr>
            <w:hyperlink r:id="rId19">
              <w:r>
                <w:rPr>
                  <w:rFonts w:ascii="Arial" w:hAnsi="Arial" w:eastAsia="Arial" w:cs="Arial"/>
                  <w:sz w:val="20"/>
                  <w:szCs w:val="20"/>
                </w:rPr>
                <w:t>Ministry of Information and Communication Technology. (2022). Namibia national cybersecurity strategy &amp; awareness raising plan 2022–2027.</w:t>
              </w:r>
            </w:hyperlink>
          </w:p>
          <w:p>
            <w:pPr>
              <w:spacing w:after="40" w:line="240" w:lineRule="auto" w:before="40"/>
            </w:pPr>
            <w:hyperlink r:id="rId20">
              <w:r>
                <w:rPr>
                  <w:rFonts w:ascii="Arial" w:hAnsi="Arial" w:eastAsia="Arial" w:cs="Arial"/>
                  <w:sz w:val="20"/>
                  <w:szCs w:val="20"/>
                </w:rPr>
                <w:t>Department of Communications and Digital Technologies. (2020). National digital and future skills strategy South Africa (Government Notice 513, Government Gazette 43730).</w:t>
              </w:r>
            </w:hyperlink>
          </w:p>
          <w:p>
            <w:pPr>
              <w:spacing w:after="40" w:line="240" w:lineRule="auto" w:before="40"/>
            </w:pPr>
            <w:hyperlink r:id="rId21">
              <w:r>
                <w:rPr>
                  <w:rFonts w:ascii="Arial" w:hAnsi="Arial" w:eastAsia="Arial" w:cs="Arial"/>
                  <w:sz w:val="20"/>
                  <w:szCs w:val="20"/>
                </w:rPr>
                <w:t>Ireton, C., &amp; Posetti, J. (Eds.). (2018). Journalism, “fake news” &amp; disinformation: Handbook for journalism education and training. UNESCO.</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MEPR-5103 – Mine Environmental Principles and Regulation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Case analysis, obligation register and written examination.</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Ministry responsible for environment — Environmental Management Act 7 of 2007</w:t>
              </w:r>
            </w:hyperlink>
          </w:p>
          <w:p>
            <w:pPr>
              <w:spacing w:after="40" w:line="240" w:lineRule="auto" w:before="40"/>
            </w:pPr>
            <w:hyperlink r:id="rId68">
              <w:r>
                <w:rPr>
                  <w:rFonts w:ascii="Arial" w:hAnsi="Arial" w:eastAsia="Arial" w:cs="Arial"/>
                  <w:sz w:val="20"/>
                  <w:szCs w:val="20"/>
                </w:rPr>
                <w:t>Ministry responsible for environment — Environmental assessment portal and regulations</w:t>
              </w:r>
            </w:hyperlink>
          </w:p>
          <w:p>
            <w:pPr>
              <w:spacing w:after="40" w:line="240" w:lineRule="auto" w:before="40"/>
            </w:pPr>
            <w:hyperlink r:id="rId69">
              <w:r>
                <w:rPr>
                  <w:rFonts w:ascii="Arial" w:hAnsi="Arial" w:eastAsia="Arial" w:cs="Arial"/>
                  <w:sz w:val="20"/>
                  <w:szCs w:val="20"/>
                </w:rPr>
                <w:t>IFC — Environmental Health and Safety Guidelines for Mining (2007)</w:t>
              </w:r>
            </w:hyperlink>
          </w:p>
          <w:p>
            <w:pPr>
              <w:spacing w:after="40" w:line="240" w:lineRule="auto" w:before="40"/>
            </w:pPr>
            <w:hyperlink r:id="rId70">
              <w:r>
                <w:rPr>
                  <w:rFonts w:ascii="Arial" w:hAnsi="Arial" w:eastAsia="Arial" w:cs="Arial"/>
                  <w:sz w:val="20"/>
                  <w:szCs w:val="20"/>
                </w:rPr>
                <w:t>Environmental Compliance Consultancy. (2019). Best practice guide: Environmental principles for mining in Namibia—Part 5: Care and maintenance, closure and completion. Chamber of Mines of Namibia, Namibian Chamber of Environment, and Government of Namibia.</w:t>
              </w:r>
            </w:hyperlink>
          </w:p>
          <w:p>
            <w:pPr>
              <w:spacing w:after="40" w:line="240" w:lineRule="auto" w:before="40"/>
            </w:pPr>
            <w:hyperlink r:id="rId71">
              <w:r>
                <w:rPr>
                  <w:rFonts w:ascii="Arial" w:hAnsi="Arial" w:eastAsia="Arial" w:cs="Arial"/>
                  <w:sz w:val="20"/>
                  <w:szCs w:val="20"/>
                </w:rPr>
                <w:t>Holmes, P. M., Esler, K. J., Geerts, S., Ngwenya, D. K., Rebelo, A. G., Dorse, C., van der Merwe, J., Retief, K., Hall, S. W., Grey, P., &amp; Nsikani, M. M. (2022). Guidelines for restoring lowland sand fynbos ecosystems.</w:t>
              </w:r>
            </w:hyperlink>
          </w:p>
          <w:p>
            <w:pPr>
              <w:spacing w:after="40" w:line="240" w:lineRule="auto" w:before="40"/>
            </w:pPr>
            <w:hyperlink r:id="rId72">
              <w:r>
                <w:rPr>
                  <w:rFonts w:ascii="Arial" w:hAnsi="Arial" w:eastAsia="Arial" w:cs="Arial"/>
                  <w:sz w:val="20"/>
                  <w:szCs w:val="20"/>
                </w:rPr>
                <w:t>International Council on Mining and Metals. (2019). Integrated mine closure: Good practice guide (2nd ed.).</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ESDM-5104 – Environmental Sampling and Data Management (Level 5, 14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Observed field or laboratory exercise, sampling portfolio and data interpretation test.</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Ministry responsible for environment — Environmental Management Act 7 of 2007</w:t>
              </w:r>
            </w:hyperlink>
          </w:p>
          <w:p>
            <w:pPr>
              <w:spacing w:after="40" w:line="240" w:lineRule="auto" w:before="40"/>
            </w:pPr>
            <w:hyperlink r:id="rId68">
              <w:r>
                <w:rPr>
                  <w:rFonts w:ascii="Arial" w:hAnsi="Arial" w:eastAsia="Arial" w:cs="Arial"/>
                  <w:sz w:val="20"/>
                  <w:szCs w:val="20"/>
                </w:rPr>
                <w:t>Ministry responsible for environment — Environmental assessment portal and regulations</w:t>
              </w:r>
            </w:hyperlink>
          </w:p>
          <w:p>
            <w:pPr>
              <w:spacing w:after="40" w:line="240" w:lineRule="auto" w:before="40"/>
            </w:pPr>
            <w:hyperlink r:id="rId69">
              <w:r>
                <w:rPr>
                  <w:rFonts w:ascii="Arial" w:hAnsi="Arial" w:eastAsia="Arial" w:cs="Arial"/>
                  <w:sz w:val="20"/>
                  <w:szCs w:val="20"/>
                </w:rPr>
                <w:t>IFC — Environmental Health and Safety Guidelines for Mining (2007)</w:t>
              </w:r>
            </w:hyperlink>
          </w:p>
          <w:p>
            <w:pPr>
              <w:spacing w:after="40" w:line="240" w:lineRule="auto" w:before="40"/>
            </w:pPr>
            <w:hyperlink r:id="rId70">
              <w:r>
                <w:rPr>
                  <w:rFonts w:ascii="Arial" w:hAnsi="Arial" w:eastAsia="Arial" w:cs="Arial"/>
                  <w:sz w:val="20"/>
                  <w:szCs w:val="20"/>
                </w:rPr>
                <w:t>Environmental Compliance Consultancy. (2019). Best practice guide: Environmental principles for mining in Namibia—Part 5: Care and maintenance, closure and completion. Chamber of Mines of Namibia, Namibian Chamber of Environment, and Government of Namibia.</w:t>
              </w:r>
            </w:hyperlink>
          </w:p>
          <w:p>
            <w:pPr>
              <w:spacing w:after="40" w:line="240" w:lineRule="auto" w:before="40"/>
            </w:pPr>
            <w:hyperlink r:id="rId73">
              <w:r>
                <w:rPr>
                  <w:rFonts w:ascii="Arial" w:hAnsi="Arial" w:eastAsia="Arial" w:cs="Arial"/>
                  <w:sz w:val="20"/>
                  <w:szCs w:val="20"/>
                </w:rPr>
                <w:t>Anglo American. (2019). Mine closure toolbox: Examples (Version 3).</w:t>
              </w:r>
            </w:hyperlink>
          </w:p>
          <w:p>
            <w:pPr>
              <w:spacing w:after="40" w:line="240" w:lineRule="auto" w:before="40"/>
            </w:pPr>
            <w:hyperlink r:id="rId72">
              <w:r>
                <w:rPr>
                  <w:rFonts w:ascii="Arial" w:hAnsi="Arial" w:eastAsia="Arial" w:cs="Arial"/>
                  <w:sz w:val="20"/>
                  <w:szCs w:val="20"/>
                </w:rPr>
                <w:t>International Council on Mining and Metals. (2019). Integrated mine closure: Good practice guide (2nd ed.).</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MPPC-5105 – Mine Pollution Prevention and Control (Level 5, 14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Technical case study, calculation exercises and control-inspection simulation.</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Ministry responsible for environment — Environmental Management Act 7 of 2007</w:t>
              </w:r>
            </w:hyperlink>
          </w:p>
          <w:p>
            <w:pPr>
              <w:spacing w:after="40" w:line="240" w:lineRule="auto" w:before="40"/>
            </w:pPr>
            <w:hyperlink r:id="rId68">
              <w:r>
                <w:rPr>
                  <w:rFonts w:ascii="Arial" w:hAnsi="Arial" w:eastAsia="Arial" w:cs="Arial"/>
                  <w:sz w:val="20"/>
                  <w:szCs w:val="20"/>
                </w:rPr>
                <w:t>Ministry responsible for environment — Environmental assessment portal and regulations</w:t>
              </w:r>
            </w:hyperlink>
          </w:p>
          <w:p>
            <w:pPr>
              <w:spacing w:after="40" w:line="240" w:lineRule="auto" w:before="40"/>
            </w:pPr>
            <w:hyperlink r:id="rId69">
              <w:r>
                <w:rPr>
                  <w:rFonts w:ascii="Arial" w:hAnsi="Arial" w:eastAsia="Arial" w:cs="Arial"/>
                  <w:sz w:val="20"/>
                  <w:szCs w:val="20"/>
                </w:rPr>
                <w:t>IFC — Environmental Health and Safety Guidelines for Mining (2007)</w:t>
              </w:r>
            </w:hyperlink>
          </w:p>
          <w:p>
            <w:pPr>
              <w:spacing w:after="40" w:line="240" w:lineRule="auto" w:before="40"/>
            </w:pPr>
            <w:hyperlink r:id="rId24">
              <w:r>
                <w:rPr>
                  <w:rFonts w:ascii="Arial" w:hAnsi="Arial" w:eastAsia="Arial" w:cs="Arial"/>
                  <w:sz w:val="20"/>
                  <w:szCs w:val="20"/>
                </w:rPr>
                <w:t>Environmental Compliance Consultancy. (2019). Best practice guide: Environmental principles for mining in Namibia—Part 4: Mining and processing operations. Chamber of Mines of Namibia, Namibian Chamber of Environment, and Government of Namibia.</w:t>
              </w:r>
            </w:hyperlink>
          </w:p>
          <w:p>
            <w:pPr>
              <w:spacing w:after="40" w:line="240" w:lineRule="auto" w:before="40"/>
            </w:pPr>
            <w:hyperlink r:id="rId70">
              <w:r>
                <w:rPr>
                  <w:rFonts w:ascii="Arial" w:hAnsi="Arial" w:eastAsia="Arial" w:cs="Arial"/>
                  <w:sz w:val="20"/>
                  <w:szCs w:val="20"/>
                </w:rPr>
                <w:t>Environmental Compliance Consultancy. (2019). Best practice guide: Environmental principles for mining in Namibia—Part 5: Care and maintenance, closure and completion. Chamber of Mines of Namibia, Namibian Chamber of Environment, and Government of Namibia.</w:t>
              </w:r>
            </w:hyperlink>
          </w:p>
          <w:p>
            <w:pPr>
              <w:spacing w:after="40" w:line="240" w:lineRule="auto" w:before="40"/>
            </w:pPr>
            <w:hyperlink r:id="rId32">
              <w:r>
                <w:rPr>
                  <w:rFonts w:ascii="Arial" w:hAnsi="Arial" w:eastAsia="Arial" w:cs="Arial"/>
                  <w:sz w:val="20"/>
                  <w:szCs w:val="20"/>
                </w:rPr>
                <w:t>International Council on Mining and Metals. (2021). Tailings management: Good practice guide.</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BEHM-5206 – Biodiversity and Habitat Management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Habitat case portfolio and oral justification.</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Ministry responsible for environment — Environmental Management Act 7 of 2007</w:t>
              </w:r>
            </w:hyperlink>
          </w:p>
          <w:p>
            <w:pPr>
              <w:spacing w:after="40" w:line="240" w:lineRule="auto" w:before="40"/>
            </w:pPr>
            <w:hyperlink r:id="rId68">
              <w:r>
                <w:rPr>
                  <w:rFonts w:ascii="Arial" w:hAnsi="Arial" w:eastAsia="Arial" w:cs="Arial"/>
                  <w:sz w:val="20"/>
                  <w:szCs w:val="20"/>
                </w:rPr>
                <w:t>Ministry responsible for environment — Environmental assessment portal and regulations</w:t>
              </w:r>
            </w:hyperlink>
          </w:p>
          <w:p>
            <w:pPr>
              <w:spacing w:after="40" w:line="240" w:lineRule="auto" w:before="40"/>
            </w:pPr>
            <w:hyperlink r:id="rId69">
              <w:r>
                <w:rPr>
                  <w:rFonts w:ascii="Arial" w:hAnsi="Arial" w:eastAsia="Arial" w:cs="Arial"/>
                  <w:sz w:val="20"/>
                  <w:szCs w:val="20"/>
                </w:rPr>
                <w:t>IFC — Environmental Health and Safety Guidelines for Mining (2007)</w:t>
              </w:r>
            </w:hyperlink>
          </w:p>
          <w:p>
            <w:pPr>
              <w:spacing w:after="40" w:line="240" w:lineRule="auto" w:before="40"/>
            </w:pPr>
            <w:hyperlink r:id="rId24">
              <w:r>
                <w:rPr>
                  <w:rFonts w:ascii="Arial" w:hAnsi="Arial" w:eastAsia="Arial" w:cs="Arial"/>
                  <w:sz w:val="20"/>
                  <w:szCs w:val="20"/>
                </w:rPr>
                <w:t>Environmental Compliance Consultancy. (2019). Best practice guide: Environmental principles for mining in Namibia—Part 4: Mining and processing operations. Chamber of Mines of Namibia, Namibian Chamber of Environment, and Government of Namibia.</w:t>
              </w:r>
            </w:hyperlink>
          </w:p>
          <w:p>
            <w:pPr>
              <w:spacing w:after="40" w:line="240" w:lineRule="auto" w:before="40"/>
            </w:pPr>
            <w:hyperlink r:id="rId70">
              <w:r>
                <w:rPr>
                  <w:rFonts w:ascii="Arial" w:hAnsi="Arial" w:eastAsia="Arial" w:cs="Arial"/>
                  <w:sz w:val="20"/>
                  <w:szCs w:val="20"/>
                </w:rPr>
                <w:t>Environmental Compliance Consultancy. (2019). Best practice guide: Environmental principles for mining in Namibia—Part 5: Care and maintenance, closure and completion. Chamber of Mines of Namibia, Namibian Chamber of Environment, and Government of Namibia.</w:t>
              </w:r>
            </w:hyperlink>
          </w:p>
          <w:p>
            <w:pPr>
              <w:spacing w:after="40" w:line="240" w:lineRule="auto" w:before="40"/>
            </w:pPr>
            <w:hyperlink r:id="rId32">
              <w:r>
                <w:rPr>
                  <w:rFonts w:ascii="Arial" w:hAnsi="Arial" w:eastAsia="Arial" w:cs="Arial"/>
                  <w:sz w:val="20"/>
                  <w:szCs w:val="20"/>
                </w:rPr>
                <w:t>International Council on Mining and Metals. (2021). Tailings management: Good practice guide.</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MWTM-5207 – Mine Water and Tailings Monitoring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Dataset analysis, monitoring report and scenario-based test.</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Ministry responsible for environment — Environmental Management Act 7 of 2007</w:t>
              </w:r>
            </w:hyperlink>
          </w:p>
          <w:p>
            <w:pPr>
              <w:spacing w:after="40" w:line="240" w:lineRule="auto" w:before="40"/>
            </w:pPr>
            <w:hyperlink r:id="rId68">
              <w:r>
                <w:rPr>
                  <w:rFonts w:ascii="Arial" w:hAnsi="Arial" w:eastAsia="Arial" w:cs="Arial"/>
                  <w:sz w:val="20"/>
                  <w:szCs w:val="20"/>
                </w:rPr>
                <w:t>Ministry responsible for environment — Environmental assessment portal and regulations</w:t>
              </w:r>
            </w:hyperlink>
          </w:p>
          <w:p>
            <w:pPr>
              <w:spacing w:after="40" w:line="240" w:lineRule="auto" w:before="40"/>
            </w:pPr>
            <w:hyperlink r:id="rId69">
              <w:r>
                <w:rPr>
                  <w:rFonts w:ascii="Arial" w:hAnsi="Arial" w:eastAsia="Arial" w:cs="Arial"/>
                  <w:sz w:val="20"/>
                  <w:szCs w:val="20"/>
                </w:rPr>
                <w:t>IFC — Environmental Health and Safety Guidelines for Mining (2007)</w:t>
              </w:r>
            </w:hyperlink>
          </w:p>
          <w:p>
            <w:pPr>
              <w:spacing w:after="40" w:line="240" w:lineRule="auto" w:before="40"/>
            </w:pPr>
            <w:hyperlink r:id="rId70">
              <w:r>
                <w:rPr>
                  <w:rFonts w:ascii="Arial" w:hAnsi="Arial" w:eastAsia="Arial" w:cs="Arial"/>
                  <w:sz w:val="20"/>
                  <w:szCs w:val="20"/>
                </w:rPr>
                <w:t>Environmental Compliance Consultancy. (2019). Best practice guide: Environmental principles for mining in Namibia—Part 5: Care and maintenance, closure and completion. Chamber of Mines of Namibia, Namibian Chamber of Environment, and Government of Namibia.</w:t>
              </w:r>
            </w:hyperlink>
          </w:p>
          <w:p>
            <w:pPr>
              <w:spacing w:after="40" w:line="240" w:lineRule="auto" w:before="40"/>
            </w:pPr>
            <w:hyperlink r:id="rId71">
              <w:r>
                <w:rPr>
                  <w:rFonts w:ascii="Arial" w:hAnsi="Arial" w:eastAsia="Arial" w:cs="Arial"/>
                  <w:sz w:val="20"/>
                  <w:szCs w:val="20"/>
                </w:rPr>
                <w:t>Holmes, P. M., Esler, K. J., Geerts, S., Ngwenya, D. K., Rebelo, A. G., Dorse, C., van der Merwe, J., Retief, K., Hall, S. W., Grey, P., &amp; Nsikani, M. M. (2022). Guidelines for restoring lowland sand fynbos ecosystems.</w:t>
              </w:r>
            </w:hyperlink>
          </w:p>
          <w:p>
            <w:pPr>
              <w:spacing w:after="40" w:line="240" w:lineRule="auto" w:before="40"/>
            </w:pPr>
            <w:hyperlink r:id="rId74">
              <w:r>
                <w:rPr>
                  <w:rFonts w:ascii="Arial" w:hAnsi="Arial" w:eastAsia="Arial" w:cs="Arial"/>
                  <w:sz w:val="20"/>
                  <w:szCs w:val="20"/>
                </w:rPr>
                <w:t>Food and Agriculture Organization of the United Nations. (2017). Voluntary guidelines for sustainable soil management.</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ERIA-5208 – Environmental Risk and Incident Analysis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Incident investigation portfolio, risk register and oral defence.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Ministry responsible for environment — Environmental Management Act 7 of 2007</w:t>
              </w:r>
            </w:hyperlink>
          </w:p>
          <w:p>
            <w:pPr>
              <w:spacing w:after="40" w:line="240" w:lineRule="auto" w:before="40"/>
            </w:pPr>
            <w:hyperlink r:id="rId68">
              <w:r>
                <w:rPr>
                  <w:rFonts w:ascii="Arial" w:hAnsi="Arial" w:eastAsia="Arial" w:cs="Arial"/>
                  <w:sz w:val="20"/>
                  <w:szCs w:val="20"/>
                </w:rPr>
                <w:t>Ministry responsible for environment — Environmental assessment portal and regulations</w:t>
              </w:r>
            </w:hyperlink>
          </w:p>
          <w:p>
            <w:pPr>
              <w:spacing w:after="40" w:line="240" w:lineRule="auto" w:before="40"/>
            </w:pPr>
            <w:hyperlink r:id="rId69">
              <w:r>
                <w:rPr>
                  <w:rFonts w:ascii="Arial" w:hAnsi="Arial" w:eastAsia="Arial" w:cs="Arial"/>
                  <w:sz w:val="20"/>
                  <w:szCs w:val="20"/>
                </w:rPr>
                <w:t>IFC — Environmental Health and Safety Guidelines for Mining (2007)</w:t>
              </w:r>
            </w:hyperlink>
          </w:p>
          <w:p>
            <w:pPr>
              <w:spacing w:after="40" w:line="240" w:lineRule="auto" w:before="40"/>
            </w:pPr>
            <w:hyperlink r:id="rId70">
              <w:r>
                <w:rPr>
                  <w:rFonts w:ascii="Arial" w:hAnsi="Arial" w:eastAsia="Arial" w:cs="Arial"/>
                  <w:sz w:val="20"/>
                  <w:szCs w:val="20"/>
                </w:rPr>
                <w:t>Environmental Compliance Consultancy. (2019). Best practice guide: Environmental principles for mining in Namibia—Part 5: Care and maintenance, closure and completion. Chamber of Mines of Namibia, Namibian Chamber of Environment, and Government of Namibia.</w:t>
              </w:r>
            </w:hyperlink>
          </w:p>
          <w:p>
            <w:pPr>
              <w:spacing w:after="40" w:line="240" w:lineRule="auto" w:before="40"/>
            </w:pPr>
            <w:hyperlink r:id="rId26">
              <w:r>
                <w:rPr>
                  <w:rFonts w:ascii="Arial" w:hAnsi="Arial" w:eastAsia="Arial" w:cs="Arial"/>
                  <w:sz w:val="20"/>
                  <w:szCs w:val="20"/>
                </w:rPr>
                <w:t>Chamber of Mines of Namibia. (2024). 2023 annual review.</w:t>
              </w:r>
            </w:hyperlink>
          </w:p>
          <w:p>
            <w:pPr>
              <w:spacing w:after="40" w:line="240" w:lineRule="auto" w:before="40"/>
            </w:pPr>
            <w:hyperlink r:id="rId72">
              <w:r>
                <w:rPr>
                  <w:rFonts w:ascii="Arial" w:hAnsi="Arial" w:eastAsia="Arial" w:cs="Arial"/>
                  <w:sz w:val="20"/>
                  <w:szCs w:val="20"/>
                </w:rPr>
                <w:t>International Council on Mining and Metals. (2019). Integrated mine closure: Good practice guide (2nd ed.).</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EMAR-5209 – Environmental Management Auditing and Reporting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Simulated audit portfolio and written knowledge test.</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Ministry responsible for environment — Environmental Management Act 7 of 2007</w:t>
              </w:r>
            </w:hyperlink>
          </w:p>
          <w:p>
            <w:pPr>
              <w:spacing w:after="40" w:line="240" w:lineRule="auto" w:before="40"/>
            </w:pPr>
            <w:hyperlink r:id="rId68">
              <w:r>
                <w:rPr>
                  <w:rFonts w:ascii="Arial" w:hAnsi="Arial" w:eastAsia="Arial" w:cs="Arial"/>
                  <w:sz w:val="20"/>
                  <w:szCs w:val="20"/>
                </w:rPr>
                <w:t>Ministry responsible for environment — Environmental assessment portal and regulations</w:t>
              </w:r>
            </w:hyperlink>
          </w:p>
          <w:p>
            <w:pPr>
              <w:spacing w:after="40" w:line="240" w:lineRule="auto" w:before="40"/>
            </w:pPr>
            <w:hyperlink r:id="rId69">
              <w:r>
                <w:rPr>
                  <w:rFonts w:ascii="Arial" w:hAnsi="Arial" w:eastAsia="Arial" w:cs="Arial"/>
                  <w:sz w:val="20"/>
                  <w:szCs w:val="20"/>
                </w:rPr>
                <w:t>IFC — Environmental Health and Safety Guidelines for Mining (2007)</w:t>
              </w:r>
            </w:hyperlink>
          </w:p>
          <w:p>
            <w:pPr>
              <w:spacing w:after="40" w:line="240" w:lineRule="auto" w:before="40"/>
            </w:pPr>
            <w:hyperlink r:id="rId70">
              <w:r>
                <w:rPr>
                  <w:rFonts w:ascii="Arial" w:hAnsi="Arial" w:eastAsia="Arial" w:cs="Arial"/>
                  <w:sz w:val="20"/>
                  <w:szCs w:val="20"/>
                </w:rPr>
                <w:t>Environmental Compliance Consultancy. (2019). Best practice guide: Environmental principles for mining in Namibia—Part 5: Care and maintenance, closure and completion. Chamber of Mines of Namibia, Namibian Chamber of Environment, and Government of Namibia.</w:t>
              </w:r>
            </w:hyperlink>
          </w:p>
          <w:p>
            <w:pPr>
              <w:spacing w:after="40" w:line="240" w:lineRule="auto" w:before="40"/>
            </w:pPr>
            <w:hyperlink r:id="rId26">
              <w:r>
                <w:rPr>
                  <w:rFonts w:ascii="Arial" w:hAnsi="Arial" w:eastAsia="Arial" w:cs="Arial"/>
                  <w:sz w:val="20"/>
                  <w:szCs w:val="20"/>
                </w:rPr>
                <w:t>Chamber of Mines of Namibia. (2024). 2023 annual review.</w:t>
              </w:r>
            </w:hyperlink>
          </w:p>
          <w:p>
            <w:pPr>
              <w:spacing w:after="40" w:line="240" w:lineRule="auto" w:before="40"/>
            </w:pPr>
            <w:hyperlink r:id="rId72">
              <w:r>
                <w:rPr>
                  <w:rFonts w:ascii="Arial" w:hAnsi="Arial" w:eastAsia="Arial" w:cs="Arial"/>
                  <w:sz w:val="20"/>
                  <w:szCs w:val="20"/>
                </w:rPr>
                <w:t>International Council on Mining and Metals. (2019). Integrated mine closure: Good practice guide (2nd ed.).</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IEMP-5210 – Integrated Mine Environmental Management Project (Level 5, 16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EO1, EO2, EO3, EO4, EO5, EO6</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Individual project report, supporting calculations and records, and oral defence; controlled simulation where field access is unavailable.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Ministry responsible for environment — Environmental Management Act 7 of 2007</w:t>
              </w:r>
            </w:hyperlink>
          </w:p>
          <w:p>
            <w:pPr>
              <w:spacing w:after="40" w:line="240" w:lineRule="auto" w:before="40"/>
            </w:pPr>
            <w:hyperlink r:id="rId68">
              <w:r>
                <w:rPr>
                  <w:rFonts w:ascii="Arial" w:hAnsi="Arial" w:eastAsia="Arial" w:cs="Arial"/>
                  <w:sz w:val="20"/>
                  <w:szCs w:val="20"/>
                </w:rPr>
                <w:t>Ministry responsible for environment — Environmental assessment portal and regulations</w:t>
              </w:r>
            </w:hyperlink>
          </w:p>
          <w:p>
            <w:pPr>
              <w:spacing w:after="40" w:line="240" w:lineRule="auto" w:before="40"/>
            </w:pPr>
            <w:hyperlink r:id="rId69">
              <w:r>
                <w:rPr>
                  <w:rFonts w:ascii="Arial" w:hAnsi="Arial" w:eastAsia="Arial" w:cs="Arial"/>
                  <w:sz w:val="20"/>
                  <w:szCs w:val="20"/>
                </w:rPr>
                <w:t>IFC — Environmental Health and Safety Guidelines for Mining (2007)</w:t>
              </w:r>
            </w:hyperlink>
          </w:p>
          <w:p>
            <w:pPr>
              <w:spacing w:after="40" w:line="240" w:lineRule="auto" w:before="40"/>
            </w:pPr>
            <w:hyperlink r:id="rId70">
              <w:r>
                <w:rPr>
                  <w:rFonts w:ascii="Arial" w:hAnsi="Arial" w:eastAsia="Arial" w:cs="Arial"/>
                  <w:sz w:val="20"/>
                  <w:szCs w:val="20"/>
                </w:rPr>
                <w:t>Environmental Compliance Consultancy. (2019). Best practice guide: Environmental principles for mining in Namibia—Part 5: Care and maintenance, closure and completion. Chamber of Mines of Namibia, Namibian Chamber of Environment, and Government of Namibia.</w:t>
              </w:r>
            </w:hyperlink>
          </w:p>
          <w:p>
            <w:pPr>
              <w:spacing w:after="40" w:line="240" w:lineRule="auto" w:before="40"/>
            </w:pPr>
            <w:hyperlink r:id="rId71">
              <w:r>
                <w:rPr>
                  <w:rFonts w:ascii="Arial" w:hAnsi="Arial" w:eastAsia="Arial" w:cs="Arial"/>
                  <w:sz w:val="20"/>
                  <w:szCs w:val="20"/>
                </w:rPr>
                <w:t>Holmes, P. M., Esler, K. J., Geerts, S., Ngwenya, D. K., Rebelo, A. G., Dorse, C., van der Merwe, J., Retief, K., Hall, S. W., Grey, P., &amp; Nsikani, M. M. (2022). Guidelines for restoring lowland sand fynbos ecosystems.</w:t>
              </w:r>
            </w:hyperlink>
          </w:p>
          <w:p>
            <w:pPr>
              <w:spacing w:after="40" w:line="240" w:lineRule="auto" w:before="40"/>
            </w:pPr>
            <w:hyperlink r:id="rId72">
              <w:r>
                <w:rPr>
                  <w:rFonts w:ascii="Arial" w:hAnsi="Arial" w:eastAsia="Arial" w:cs="Arial"/>
                  <w:sz w:val="20"/>
                  <w:szCs w:val="20"/>
                </w:rPr>
                <w:t>International Council on Mining and Metals. (2019). Integrated mine closure: Good practice guide (2nd ed.).</w:t>
              </w:r>
            </w:hyperlink>
          </w:p>
        </w:tc>
      </w:tr>
    </w:tbl>
    <w:p w14:paraId="69544E13" w14:textId="77777777" w:rsidR="00BA2940" w:rsidRPr="008B6C93" w:rsidRDefault="00BA2940" w:rsidP="00BA2940">
      <w:pPr>
        <w:pStyle w:val="Heading1"/>
        <w:spacing w:before="0" w:after="120"/>
        <w:rPr>
          <w:rFonts w:ascii="Arial" w:hAnsi="Arial" w:eastAsia="Arial" w:cs="Arial"/>
          <w:sz w:val="20"/>
          <w:szCs w:val="20"/>
        </w:rPr>
      </w:pPr>
      <w:r w:rsidRPr="008B6C93">
        <w:rPr>
          <w:rFonts w:ascii="Arial" w:hAnsi="Arial" w:eastAsia="Arial" w:cs="Arial"/>
          <w:sz w:val="20"/>
          <w:szCs w:val="20"/>
        </w:rPr>
        <w:t>Comparative Benchmarking</w:t>
      </w:r>
    </w:p>
    <w:p w14:paraId="624416E7" w14:textId="77777777" w:rsidR="00BA2940" w:rsidRPr="008B6C93" w:rsidRDefault="00BA2940" w:rsidP="00BA2940">
      <w:pPr>
        <w:keepNext/>
        <w:spacing w:before="0" w:after="120"/>
        <w:rPr>
          <w:rFonts w:ascii="Arial" w:hAnsi="Arial" w:eastAsia="Arial" w:cs="Arial"/>
          <w:sz w:val="20"/>
          <w:szCs w:val="20"/>
        </w:rPr>
      </w:pPr>
      <w:r w:rsidRPr="008B6C93">
        <w:rPr>
          <w:rFonts w:ascii="Arial" w:hAnsi="Arial" w:eastAsia="Arial" w:cs="Arial"/>
          <w:sz w:val="20"/>
          <w:szCs w:val="20"/>
        </w:rPr>
        <w:t xml:space="preserve">The comparators inform content and assessment design. Foreign levels, credit </w:t>
      </w:r>
      <w:proofErr w:type="gramStart"/>
      <w:r w:rsidRPr="008B6C93">
        <w:rPr>
          <w:rFonts w:ascii="Arial" w:hAnsi="Arial" w:eastAsia="Arial" w:cs="Arial"/>
          <w:sz w:val="20"/>
          <w:szCs w:val="20"/>
        </w:rPr>
        <w:t>values</w:t>
      </w:r>
      <w:proofErr w:type="gramEnd"/>
      <w:r w:rsidRPr="008B6C93">
        <w:rPr>
          <w:rFonts w:ascii="Arial" w:hAnsi="Arial" w:eastAsia="Arial" w:cs="Arial"/>
          <w:sz w:val="20"/>
          <w:szCs w:val="20"/>
        </w:rPr>
        <w:t xml:space="preserve"> and occupational privileges are not treated as equivalent to this proposed Namibian qualification.</w:t>
      </w:r>
    </w:p>
    <w:tbl>
      <w:tblPr>
        <w:tblStyle w:val="TableGrid"/>
        <w:tblW w:w="0" w:type="auto"/>
        <w:tblInd w:w="108" w:type="dxa"/>
        <w:tblLook w:val="04A0" w:firstRow="1" w:lastRow="0" w:firstColumn="1" w:lastColumn="0" w:noHBand="0" w:noVBand="1"/>
      </w:tblPr>
      <w:tblGrid>
        <w:gridCol w:w="1701"/>
        <w:gridCol w:w="3119"/>
        <w:gridCol w:w="2977"/>
        <w:gridCol w:w="2268"/>
        <w:gridCol w:w="5067"/>
      </w:tblGrid>
      <w:tr w:rsidR="00BA2940" w:rsidRPr="008B6C93" w14:paraId="328A2D6D" w14:textId="77777777" w:rsidTr="00BA2940">
        <w:trPr>
          <w:tblHeader/>
        </w:trPr>
        <w:tc>
          <w:tcPr>
            <w:tcW w:w="1701" w:type="dxa"/>
            <w:shd w:val="clear" w:color="auto" w:fill="D9D9D9" w:themeFill="background1" w:themeFillShade="D9"/>
            <w:vAlign w:val="top"/>
          </w:tcPr>
          <w:p w14:paraId="1FCA3176" w14:textId="628226F2"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Context</w:t>
            </w:r>
          </w:p>
        </w:tc>
        <w:tc>
          <w:tcPr>
            <w:tcW w:w="3119" w:type="dxa"/>
            <w:shd w:val="clear" w:color="auto" w:fill="D9D9D9" w:themeFill="background1" w:themeFillShade="D9"/>
            <w:vAlign w:val="top"/>
          </w:tcPr>
          <w:p w14:paraId="2AD83BB5" w14:textId="00682825"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Comparator and source</w:t>
            </w:r>
          </w:p>
        </w:tc>
        <w:tc>
          <w:tcPr>
            <w:tcW w:w="2977" w:type="dxa"/>
            <w:shd w:val="clear" w:color="auto" w:fill="D9D9D9" w:themeFill="background1" w:themeFillShade="D9"/>
            <w:vAlign w:val="top"/>
          </w:tcPr>
          <w:p w14:paraId="44775F4D" w14:textId="36D8BC47"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Relevant features</w:t>
            </w:r>
          </w:p>
        </w:tc>
        <w:tc>
          <w:tcPr>
            <w:tcW w:w="2268" w:type="dxa"/>
            <w:shd w:val="clear" w:color="auto" w:fill="D9D9D9" w:themeFill="background1" w:themeFillShade="D9"/>
            <w:vAlign w:val="top"/>
          </w:tcPr>
          <w:p w14:paraId="328FF0EE" w14:textId="33BBC969"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067" w:type="dxa"/>
            <w:shd w:val="clear" w:color="auto" w:fill="D9D9D9" w:themeFill="background1" w:themeFillShade="D9"/>
            <w:vAlign w:val="top"/>
          </w:tcPr>
          <w:p w14:paraId="571A99C6" w14:textId="462A8C4C"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Adaptation and limits</w:t>
            </w:r>
          </w:p>
        </w:tc>
      </w:tr>
      <w:tr w:rsidR="00BA2940" w:rsidRPr="008B6C93" w14:paraId="6C979BF1" w14:textId="77777777" w:rsidTr="00BA2940">
        <w:trPr/>
        <w:tc>
          <w:tcPr>
            <w:tcW w:w="1701" w:type="dxa"/>
            <w:vAlign w:val="top"/>
          </w:tcPr>
          <w:p>
            <w:pPr>
              <w:spacing w:before="40" w:after="40" w:line="240" w:lineRule="auto"/>
              <w:jc w:val="left"/>
            </w:pPr>
            <w:r>
              <w:rPr>
                <w:rFonts w:ascii="Arial" w:hAnsi="Arial" w:eastAsia="Arial" w:cs="Arial"/>
                <w:b w:val="0"/>
                <w:sz w:val="20"/>
                <w:szCs w:val="20"/>
              </w:rPr>
              <w:t>Comparative curriculum design</w:t>
            </w:r>
          </w:p>
        </w:tc>
        <w:tc>
          <w:tcPr>
            <w:tcW w:w="3119" w:type="dxa"/>
            <w:vAlign w:val="top"/>
          </w:tcPr>
          <w:p>
            <w:pPr>
              <w:spacing w:before="40" w:after="40" w:line="240" w:lineRule="auto"/>
              <w:jc w:val="left"/>
            </w:pPr>
            <w:r>
              <w:rPr>
                <w:rFonts w:ascii="Arial" w:hAnsi="Arial" w:eastAsia="Arial" w:cs="Arial"/>
                <w:b w:val="0"/>
                <w:sz w:val="20"/>
                <w:szCs w:val="20"/>
              </w:rPr>
              <w:t>Current Level 5 benchmarking report for OCOL-5023</w:t>
            </w:r>
          </w:p>
        </w:tc>
        <w:tc>
          <w:tcPr>
            <w:tcW w:w="2977" w:type="dxa"/>
            <w:vAlign w:val="top"/>
          </w:tcPr>
          <w:p>
            <w:pPr>
              <w:spacing w:before="40" w:after="40" w:line="240" w:lineRule="auto"/>
              <w:jc w:val="left"/>
            </w:pPr>
            <w:r>
              <w:rPr>
                <w:rFonts w:ascii="Arial" w:hAnsi="Arial" w:eastAsia="Arial" w:cs="Arial"/>
                <w:b w:val="0"/>
                <w:sz w:val="20"/>
                <w:szCs w:val="20"/>
              </w:rPr>
              <w:t>The design is supported by environmental technician and ecosystem-management comparators. Its mine-specific application is defensible, but the College must retain observed sampling, data quality checks and justified corrective actions rather than rely on written examinations alone. The named comparators and their scope differences are documented in the accompanying Benchmarking Report.</w:t>
            </w:r>
          </w:p>
        </w:tc>
        <w:tc>
          <w:tcPr>
            <w:tcW w:w="2268" w:type="dxa"/>
            <w:vAlign w:val="top"/>
          </w:tcPr>
          <w:p>
            <w:pPr>
              <w:spacing w:before="40" w:after="40" w:line="240" w:lineRule="auto"/>
              <w:jc w:val="left"/>
            </w:pPr>
            <w:r>
              <w:rPr>
                <w:rFonts w:ascii="Arial" w:hAnsi="Arial" w:eastAsia="Arial" w:cs="Arial"/>
                <w:b w:val="0"/>
                <w:sz w:val="20"/>
                <w:szCs w:val="20"/>
              </w:rPr>
              <w:t>MEPR-5103, ESDM-5104, MPPC-5105, BEHM-5206, MWTM-5207, ERIA-5208, EMAR-5209, IEMP-5210</w:t>
            </w:r>
          </w:p>
        </w:tc>
        <w:tc>
          <w:tcPr>
            <w:tcW w:w="5067" w:type="dxa"/>
            <w:vAlign w:val="top"/>
          </w:tcPr>
          <w:p>
            <w:pPr>
              <w:spacing w:before="40" w:after="40" w:line="240" w:lineRule="auto"/>
              <w:jc w:val="left"/>
            </w:pPr>
            <w:r>
              <w:rPr>
                <w:rFonts w:ascii="Arial" w:hAnsi="Arial" w:eastAsia="Arial" w:cs="Arial"/>
                <w:b w:val="0"/>
                <w:sz w:val="20"/>
                <w:szCs w:val="20"/>
              </w:rPr>
              <w:t>Comparators inform content and assessment; no automatic equivalence, professional status or credit transfer is claimed.</w:t>
            </w:r>
          </w:p>
        </w:tc>
      </w:tr>
    </w:tbl>
    <w:p w14:paraId="6AE23700" w14:textId="77777777" w:rsidR="00BA2940" w:rsidRPr="008B6C93" w:rsidRDefault="00BA2940" w:rsidP="00BA2940">
      <w:pPr>
        <w:pStyle w:val="Heading1"/>
        <w:spacing w:before="0" w:after="120"/>
        <w:rPr>
          <w:rFonts w:ascii="Arial" w:hAnsi="Arial" w:eastAsia="Arial" w:cs="Arial"/>
          <w:sz w:val="20"/>
          <w:szCs w:val="20"/>
        </w:rPr>
      </w:pPr>
      <w:r w:rsidRPr="008B6C93">
        <w:rPr>
          <w:rFonts w:ascii="Arial" w:hAnsi="Arial" w:eastAsia="Arial" w:cs="Arial"/>
          <w:sz w:val="20"/>
          <w:szCs w:val="20"/>
        </w:rPr>
        <w:t>Oranjemund and Regional Needs</w:t>
      </w:r>
    </w:p>
    <w:tbl>
      <w:tblPr>
        <w:tblStyle w:val="TableGrid"/>
        <w:tblW w:w="0" w:type="auto"/>
        <w:tblInd w:w="108" w:type="dxa"/>
        <w:tblLook w:val="04A0" w:firstRow="1" w:lastRow="0" w:firstColumn="1" w:lastColumn="0" w:noHBand="0" w:noVBand="1"/>
      </w:tblPr>
      <w:tblGrid>
        <w:gridCol w:w="3702"/>
        <w:gridCol w:w="3810"/>
        <w:gridCol w:w="2553"/>
        <w:gridCol w:w="5067"/>
      </w:tblGrid>
      <w:tr w:rsidR="00BA2940" w:rsidRPr="008B6C93" w14:paraId="2FDFB843" w14:textId="77777777" w:rsidTr="009D0658">
        <w:trPr>
          <w:tblHeader/>
        </w:trPr>
        <w:tc>
          <w:tcPr>
            <w:tcW w:w="3702" w:type="dxa"/>
            <w:shd w:val="clear" w:color="auto" w:fill="D9D9D9" w:themeFill="background1" w:themeFillShade="D9"/>
            <w:vAlign w:val="top"/>
          </w:tcPr>
          <w:p w14:paraId="20E70E69" w14:textId="0E89EDC3"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Contextual need</w:t>
            </w:r>
          </w:p>
        </w:tc>
        <w:tc>
          <w:tcPr>
            <w:tcW w:w="3810" w:type="dxa"/>
            <w:shd w:val="clear" w:color="auto" w:fill="D9D9D9" w:themeFill="background1" w:themeFillShade="D9"/>
            <w:vAlign w:val="top"/>
          </w:tcPr>
          <w:p w14:paraId="5B20949B" w14:textId="1715341A"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Evidence source</w:t>
            </w:r>
          </w:p>
        </w:tc>
        <w:tc>
          <w:tcPr>
            <w:tcW w:w="2553" w:type="dxa"/>
            <w:shd w:val="clear" w:color="auto" w:fill="D9D9D9" w:themeFill="background1" w:themeFillShade="D9"/>
            <w:vAlign w:val="top"/>
          </w:tcPr>
          <w:p w14:paraId="0BF1DC92" w14:textId="237C8EE8"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067" w:type="dxa"/>
            <w:shd w:val="clear" w:color="auto" w:fill="D9D9D9" w:themeFill="background1" w:themeFillShade="D9"/>
            <w:vAlign w:val="top"/>
          </w:tcPr>
          <w:p w14:paraId="58A793D8" w14:textId="7C831C5D"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Assessed learning response</w:t>
            </w:r>
          </w:p>
        </w:tc>
      </w:tr>
      <w:tr w:rsidR="00BA2940" w:rsidRPr="008B6C93" w14:paraId="6C177CFC" w14:textId="77777777" w:rsidTr="009D0658">
        <w:trPr/>
        <w:tc>
          <w:tcPr>
            <w:tcW w:w="3702" w:type="dxa"/>
            <w:vAlign w:val="top"/>
          </w:tcPr>
          <w:p>
            <w:pPr>
              <w:spacing w:before="40" w:after="40" w:line="240" w:lineRule="auto"/>
              <w:jc w:val="left"/>
            </w:pPr>
            <w:r>
              <w:rPr>
                <w:rFonts w:ascii="Arial" w:hAnsi="Arial" w:eastAsia="Arial" w:cs="Arial"/>
                <w:b w:val="0"/>
                <w:sz w:val="20"/>
                <w:szCs w:val="20"/>
              </w:rPr>
              <w:t>Programme rationale and regional context</w:t>
            </w:r>
          </w:p>
        </w:tc>
        <w:tc>
          <w:tcPr>
            <w:tcW w:w="3810" w:type="dxa"/>
            <w:vAlign w:val="top"/>
          </w:tcPr>
          <w:p>
            <w:pPr>
              <w:spacing w:before="40" w:after="40" w:line="240" w:lineRule="auto"/>
              <w:jc w:val="left"/>
            </w:pPr>
            <w:r>
              <w:rPr>
                <w:rFonts w:ascii="Arial" w:hAnsi="Arial" w:eastAsia="Arial" w:cs="Arial"/>
                <w:b w:val="0"/>
                <w:sz w:val="20"/>
                <w:szCs w:val="20"/>
              </w:rPr>
              <w:t>Environmental clearance and monitoring duties provide a functional basis for training mine environmental support personnel. This establishes relevant work activities, not the number of available jobs or a verified shortage of graduates.</w:t>
            </w:r>
          </w:p>
        </w:tc>
        <w:tc>
          <w:tcPr>
            <w:tcW w:w="2553" w:type="dxa"/>
            <w:vAlign w:val="top"/>
          </w:tcPr>
          <w:p>
            <w:pPr>
              <w:spacing w:before="40" w:after="40" w:line="240" w:lineRule="auto"/>
              <w:jc w:val="left"/>
            </w:pPr>
            <w:r>
              <w:rPr>
                <w:rFonts w:ascii="Arial" w:hAnsi="Arial" w:eastAsia="Arial" w:cs="Arial"/>
                <w:b w:val="0"/>
                <w:sz w:val="20"/>
                <w:szCs w:val="20"/>
              </w:rPr>
              <w:t>MEPR-5103, ESDM-5104, MPPC-5105, BEHM-5206, MWTM-5207, ERIA-5208, EMAR-5209, IEMP-5210</w:t>
            </w:r>
          </w:p>
        </w:tc>
        <w:tc>
          <w:tcPr>
            <w:tcW w:w="5067" w:type="dxa"/>
            <w:vAlign w:val="top"/>
          </w:tcPr>
          <w:p>
            <w:pPr>
              <w:spacing w:before="40" w:after="40" w:line="240" w:lineRule="auto"/>
              <w:jc w:val="left"/>
            </w:pPr>
            <w:r>
              <w:rPr>
                <w:rFonts w:ascii="Arial" w:hAnsi="Arial" w:eastAsia="Arial" w:cs="Arial"/>
                <w:b w:val="0"/>
                <w:sz w:val="20"/>
                <w:szCs w:val="20"/>
              </w:rPr>
              <w:t>The individual integrated project and module assessment evidence listed above test the proposed capabilities. The separate needs analysis retains unresolved demand and consultation evidence.</w:t>
            </w:r>
          </w:p>
        </w:tc>
      </w:tr>
    </w:tbl>
    <w:p w14:paraId="730E0EBC"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National and Sector Policy Alignment</w:t>
      </w:r>
    </w:p>
    <w:tbl>
      <w:tblPr>
        <w:tblStyle w:val="TableGrid"/>
        <w:tblW w:w="0" w:type="auto"/>
        <w:tblInd w:w="108" w:type="dxa"/>
        <w:tblLook w:val="04A0" w:firstRow="1" w:lastRow="0" w:firstColumn="1" w:lastColumn="0" w:noHBand="0" w:noVBand="1"/>
      </w:tblPr>
      <w:tblGrid>
        <w:gridCol w:w="2977"/>
        <w:gridCol w:w="4535"/>
        <w:gridCol w:w="1702"/>
        <w:gridCol w:w="5918"/>
      </w:tblGrid>
      <w:tr w:rsidR="00BA2940" w:rsidRPr="008B6C93" w14:paraId="67318C23" w14:textId="77777777" w:rsidTr="00BA2940">
        <w:trPr>
          <w:tblHeader/>
        </w:trPr>
        <w:tc>
          <w:tcPr>
            <w:tcW w:w="2977" w:type="dxa"/>
            <w:shd w:val="clear" w:color="auto" w:fill="D9D9D9" w:themeFill="background1" w:themeFillShade="D9"/>
            <w:vAlign w:val="top"/>
          </w:tcPr>
          <w:p w14:paraId="28A1F241" w14:textId="5CBFF134"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Policy or framework</w:t>
            </w:r>
          </w:p>
        </w:tc>
        <w:tc>
          <w:tcPr>
            <w:tcW w:w="4535" w:type="dxa"/>
            <w:shd w:val="clear" w:color="auto" w:fill="D9D9D9" w:themeFill="background1" w:themeFillShade="D9"/>
            <w:vAlign w:val="top"/>
          </w:tcPr>
          <w:p w14:paraId="67D77324" w14:textId="6A0E9874"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Relevant priority or theme</w:t>
            </w:r>
          </w:p>
        </w:tc>
        <w:tc>
          <w:tcPr>
            <w:tcW w:w="1702" w:type="dxa"/>
            <w:shd w:val="clear" w:color="auto" w:fill="D9D9D9" w:themeFill="background1" w:themeFillShade="D9"/>
            <w:vAlign w:val="top"/>
          </w:tcPr>
          <w:p w14:paraId="4F690983" w14:textId="4CFB8BCE"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918" w:type="dxa"/>
            <w:shd w:val="clear" w:color="auto" w:fill="D9D9D9" w:themeFill="background1" w:themeFillShade="D9"/>
            <w:vAlign w:val="top"/>
          </w:tcPr>
          <w:p w14:paraId="0B9ED3D7" w14:textId="692F4CBA"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Curriculum response</w:t>
            </w:r>
          </w:p>
        </w:tc>
      </w:tr>
      <w:tr w:rsidR="00BA2940" w:rsidRPr="008B6C93" w14:paraId="601804E2" w14:textId="77777777" w:rsidTr="00BA2940">
        <w:trPr/>
        <w:tc>
          <w:tcPr>
            <w:tcW w:w="2977" w:type="dxa"/>
            <w:vAlign w:val="top"/>
          </w:tcPr>
          <w:p>
            <w:pPr>
              <w:spacing w:before="40" w:after="40" w:line="240" w:lineRule="auto"/>
              <w:jc w:val="left"/>
            </w:pPr>
            <w:r>
              <w:rPr>
                <w:rFonts w:ascii="Arial" w:hAnsi="Arial" w:eastAsia="Arial" w:cs="Arial"/>
                <w:b w:val="0"/>
                <w:sz w:val="20"/>
                <w:szCs w:val="20"/>
              </w:rPr>
              <w:t>Namibian National Qualifications Framework: GN 125 of 2006, regulation 5 and Annexures A and C</w:t>
            </w:r>
          </w:p>
        </w:tc>
        <w:tc>
          <w:tcPr>
            <w:tcW w:w="4535" w:type="dxa"/>
            <w:vAlign w:val="top"/>
          </w:tcPr>
          <w:p>
            <w:pPr>
              <w:spacing w:before="40" w:after="40" w:line="240" w:lineRule="auto"/>
              <w:jc w:val="left"/>
            </w:pPr>
            <w:r>
              <w:rPr>
                <w:rFonts w:ascii="Arial" w:hAnsi="Arial" w:eastAsia="Arial" w:cs="Arial"/>
                <w:b w:val="0"/>
                <w:sz w:val="20"/>
                <w:szCs w:val="20"/>
              </w:rPr>
              <w:t>Level descriptors, qualification specification and ten notional hours per credit</w:t>
            </w:r>
          </w:p>
        </w:tc>
        <w:tc>
          <w:tcPr>
            <w:tcW w:w="1702" w:type="dxa"/>
            <w:vAlign w:val="top"/>
          </w:tcPr>
          <w:p>
            <w:pPr>
              <w:spacing w:before="40" w:after="40" w:line="240" w:lineRule="auto"/>
              <w:jc w:val="left"/>
            </w:pPr>
            <w:r>
              <w:rPr>
                <w:rFonts w:ascii="Arial" w:hAnsi="Arial" w:eastAsia="Arial" w:cs="Arial"/>
                <w:b w:val="0"/>
                <w:sz w:val="20"/>
                <w:szCs w:val="20"/>
              </w:rPr>
              <w:t>All modules</w:t>
            </w:r>
          </w:p>
        </w:tc>
        <w:tc>
          <w:tcPr>
            <w:tcW w:w="5918" w:type="dxa"/>
            <w:vAlign w:val="top"/>
          </w:tcPr>
          <w:p>
            <w:pPr>
              <w:spacing w:before="40" w:after="40" w:line="240" w:lineRule="auto"/>
              <w:jc w:val="left"/>
            </w:pPr>
            <w:r>
              <w:rPr>
                <w:rFonts w:ascii="Arial" w:hAnsi="Arial" w:eastAsia="Arial" w:cs="Arial"/>
                <w:b w:val="0"/>
                <w:sz w:val="20"/>
                <w:szCs w:val="20"/>
              </w:rPr>
              <w:t>Level 5 outcomes, 120 credits, 1,200 notional hours and explicit assessment mapping. Registration and approval are not asserted.</w:t>
            </w:r>
          </w:p>
        </w:tc>
      </w:tr>
      <w:tr w:rsidR="00BA2940" w:rsidRPr="008B6C93" w14:paraId="601804E2" w14:textId="77777777" w:rsidTr="00BA2940">
        <w:trPr/>
        <w:tc>
          <w:tcPr>
            <w:tcW w:w="2977" w:type="dxa"/>
            <w:vAlign w:val="top"/>
          </w:tcPr>
          <w:p>
            <w:pPr>
              <w:spacing w:before="40" w:after="40" w:line="240" w:lineRule="auto"/>
              <w:jc w:val="left"/>
            </w:pPr>
            <w:r>
              <w:rPr>
                <w:rFonts w:ascii="Arial" w:hAnsi="Arial" w:eastAsia="Arial" w:cs="Arial"/>
                <w:b w:val="0"/>
                <w:sz w:val="20"/>
                <w:szCs w:val="20"/>
              </w:rPr>
              <w:t>UNESCO (2024). AI competency framework for students.</w:t>
            </w:r>
          </w:p>
        </w:tc>
        <w:tc>
          <w:tcPr>
            <w:tcW w:w="4535" w:type="dxa"/>
            <w:vAlign w:val="top"/>
          </w:tcPr>
          <w:p>
            <w:pPr>
              <w:spacing w:before="40" w:after="40" w:line="240" w:lineRule="auto"/>
              <w:jc w:val="left"/>
            </w:pPr>
            <w:r>
              <w:rPr>
                <w:rFonts w:ascii="Arial" w:hAnsi="Arial" w:eastAsia="Arial" w:cs="Arial"/>
                <w:b w:val="0"/>
                <w:sz w:val="20"/>
                <w:szCs w:val="20"/>
              </w:rPr>
              <w:t>Responsible AI use, critical evaluation and human oversight</w:t>
            </w:r>
          </w:p>
        </w:tc>
        <w:tc>
          <w:tcPr>
            <w:tcW w:w="1702" w:type="dxa"/>
            <w:vAlign w:val="top"/>
          </w:tcPr>
          <w:p>
            <w:pPr>
              <w:spacing w:before="40" w:after="40" w:line="240" w:lineRule="auto"/>
              <w:jc w:val="left"/>
            </w:pPr>
            <w:r>
              <w:rPr>
                <w:rFonts w:ascii="Arial" w:hAnsi="Arial" w:eastAsia="Arial" w:cs="Arial"/>
                <w:b w:val="0"/>
                <w:sz w:val="20"/>
                <w:szCs w:val="20"/>
              </w:rPr>
              <w:t>PISY-5102; ECAW-5101</w:t>
            </w:r>
          </w:p>
        </w:tc>
        <w:tc>
          <w:tcPr>
            <w:tcW w:w="5918" w:type="dxa"/>
            <w:vAlign w:val="top"/>
          </w:tcPr>
          <w:p>
            <w:pPr>
              <w:spacing w:before="40" w:after="40" w:line="240" w:lineRule="auto"/>
              <w:jc w:val="left"/>
            </w:pPr>
            <w:r>
              <w:rPr>
                <w:rFonts w:ascii="Arial" w:hAnsi="Arial" w:eastAsia="Arial" w:cs="Arial"/>
                <w:b w:val="0"/>
                <w:sz w:val="20"/>
                <w:szCs w:val="20"/>
              </w:rPr>
              <w:t>Verify AI-assisted outputs, disclose permitted assistance, protect data and retain individual evidence. The framework informs teaching rather than conferring regulatory approval.</w:t>
            </w:r>
          </w:p>
        </w:tc>
      </w:tr>
    </w:tbl>
    <w:sectPr w:rsidR="00C65B51" w:rsidRPr="008B6C93" w:rsidSect="00BA2940">
      <w:pgSz w:w="16838" w:h="11906" w:orient="landscape"/>
      <w:pgMar w:top="907" w:right="850" w:bottom="907" w:left="85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C7AD1E" w14:textId="77777777" w:rsidR="00B31F24" w:rsidRDefault="00B31F24">
      <w:pPr>
        <w:spacing w:after="0" w:line="240" w:lineRule="auto"/>
      </w:pPr>
      <w:r>
        <w:rPr>
          <w:rFonts w:ascii="Arial" w:hAnsi="Arial" w:eastAsia="Arial" w:cs="Arial"/>
          <w:sz w:val="20"/>
          <w:szCs w:val="20"/>
        </w:rPr>
        <w:separator/>
      </w:r>
    </w:p>
  </w:endnote>
  <w:endnote w:type="continuationSeparator" w:id="0">
    <w:p w14:paraId="386D6CAD" w14:textId="77777777" w:rsidR="00B31F24" w:rsidRDefault="00B31F24">
      <w:pPr>
        <w:spacing w:after="0" w:line="240" w:lineRule="auto"/>
      </w:pPr>
      <w:r>
        <w:rPr>
          <w:rFonts w:ascii="Arial" w:hAnsi="Arial" w:eastAsia="Arial" w:cs="Arial"/>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5D52EE" w14:textId="77777777" w:rsidR="00C65B51" w:rsidRDefault="00000000">
    <w:pPr>
      <w:jc w:val="center"/>
    </w:pPr>
    <w:r>
      <w:rPr>
        <w:sz w:val="20"/>
        <w:rFonts w:ascii="Arial" w:hAnsi="Arial" w:eastAsia="Arial" w:cs="Arial"/>
        <w:szCs w:val="20"/>
      </w:rPr>
      <w:t>Oranjemund College | Qualification structure</w:t>
    </w:r>
  </w:p>
  <w:p w14:paraId="174331D4" w14:textId="77777777" w:rsidR="00C65B51" w:rsidRDefault="00000000">
    <w:pPr>
      <w:pStyle w:val="Footer"/>
      <w:jc w:val="center"/>
    </w:pPr>
    <w:r>
      <w:rPr>
        <w:rFonts w:ascii="Arial" w:hAnsi="Arial" w:eastAsia="Arial" w:cs="Arial"/>
        <w:sz w:val="20"/>
        <w:szCs w:val="20"/>
      </w:rPr>
    </w:r>
    <w:r>
      <w:rPr>
        <w:rFonts w:ascii="Arial" w:hAnsi="Arial" w:eastAsia="Arial" w:cs="Arial"/>
        <w:sz w:val="20"/>
        <w:szCs w:val="20"/>
      </w:rPr>
    </w:r>
    <w:r>
      <w:rPr>
        <w:rFonts w:ascii="Arial" w:hAnsi="Arial" w:eastAsia="Arial" w:cs="Arial"/>
        <w:sz w:val="20"/>
        <w:szCs w:val="20"/>
      </w:rPr>
    </w:r>
    <w:fldSimple w:instr="PAGE">
      <w:r w:rsidR="008F64FC">
        <w:rPr>
          <w:noProof/>
          <w:rFonts w:ascii="Arial" w:hAnsi="Arial" w:eastAsia="Arial" w:cs="Arial"/>
          <w:sz w:val="20"/>
          <w:szCs w:val="20"/>
        </w:rPr>
        <w:t>1</w:t>
      </w:r>
    </w:fldSimple>
    <w:r>
      <w:rPr>
        <w:rFonts w:ascii="Arial" w:hAnsi="Arial" w:eastAsia="Arial" w:cs="Arial"/>
        <w:sz w:val="20"/>
        <w:szCs w:val="20"/>
      </w:r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A55A5D" w14:textId="77777777" w:rsidR="00B31F24" w:rsidRDefault="00B31F24">
      <w:pPr>
        <w:spacing w:after="0" w:line="240" w:lineRule="auto"/>
      </w:pPr>
      <w:r>
        <w:rPr>
          <w:rFonts w:ascii="Arial" w:hAnsi="Arial" w:eastAsia="Arial" w:cs="Arial"/>
          <w:sz w:val="20"/>
          <w:szCs w:val="20"/>
        </w:rPr>
        <w:separator/>
      </w:r>
    </w:p>
  </w:footnote>
  <w:footnote w:type="continuationSeparator" w:id="0">
    <w:p w14:paraId="7AD2630E" w14:textId="77777777" w:rsidR="00B31F24" w:rsidRDefault="00B31F24">
      <w:pPr>
        <w:spacing w:after="0" w:line="240" w:lineRule="auto"/>
      </w:pPr>
      <w:r>
        <w:rPr>
          <w:rFonts w:ascii="Arial" w:hAnsi="Arial" w:eastAsia="Arial" w:cs="Arial"/>
          <w:sz w:val="20"/>
          <w:szCs w:val="20"/>
        </w:rPr>
        <w:continuationSeparator/>
      </w:r>
    </w:p>
  </w:footnote>
  <w:footnote w:id="1">
    <w:p w14:paraId="6FC62178"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broad classification of learning under the NQF, identifying the primary discipline area in which the qualification is placed.</w:t>
      </w:r>
    </w:p>
  </w:footnote>
  <w:footnote w:id="2">
    <w:p w14:paraId="3481F3F7"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Represents the unique institutional identifier assigned to the qualification for academic, administrative, and reporting purposes.</w:t>
      </w:r>
    </w:p>
  </w:footnote>
  <w:footnote w:id="3">
    <w:p w14:paraId="7879277D"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Specifies the qualification’s position within the Namibia Qualifications Framework and reflects the complexity, knowledge depth, and skills expected at that level.</w:t>
      </w:r>
    </w:p>
  </w:footnote>
  <w:footnote w:id="4">
    <w:p w14:paraId="5AECE1AA"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Refers to the full volume of credits allocated across all modules that make up the qualification, based on the NQF requirement that one credit equates to ten notional hours of learning.</w:t>
      </w:r>
    </w:p>
  </w:footnote>
  <w:footnote w:id="5">
    <w:p w14:paraId="4C9A2F51"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minimum number of credits a learner must successfully attain to be awarded the qualification.</w:t>
      </w:r>
    </w:p>
  </w:footnote>
  <w:footnote w:id="6">
    <w:p w14:paraId="092FC64B" w14:textId="77777777" w:rsidR="00885E26" w:rsidRPr="005A3FFB" w:rsidRDefault="00885E26" w:rsidP="00885E26">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The qualification structure outlines the organised arrangement of all modules that make up the qualification, indicating their codes, titles, NQF levels, and associated credits. It specifies the compulsory components a learner must complete to attain the qualification and reflects the prescribed distribution of learning in line with NQF credit and level requirements.</w:t>
      </w:r>
    </w:p>
  </w:footnote>
  <w:footnote w:id="7">
    <w:p w14:paraId="0B9A5C3F" w14:textId="77777777" w:rsidR="0082754C" w:rsidRPr="005A3FFB" w:rsidRDefault="0082754C" w:rsidP="0082754C">
      <w:pPr>
        <w:pStyle w:val="FootnoteText"/>
        <w:spacing w:line="240" w:lineRule="auto"/>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This framework defines the structured allocation of learning hours per credit across contact teaching, directed learning, and independent study, ensuring consistency, transparency, and compliance with NQF credit guidelines.</w:t>
      </w:r>
    </w:p>
  </w:footnote>
  <w:footnote w:id="8">
    <w:p w14:paraId="257DDE72"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stage of study within the qualification in which the module is delivered.</w:t>
      </w:r>
    </w:p>
  </w:footnote>
  <w:footnote w:id="9">
    <w:p w14:paraId="68CB9002"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Specifies the academic semester during which the module is offered.</w:t>
      </w:r>
    </w:p>
  </w:footnote>
  <w:footnote w:id="10">
    <w:p w14:paraId="64607956"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State the measurable abilities a learner must achieve upon completing the module, aligned with the NQF Level and expressed using active verbs.</w:t>
      </w:r>
    </w:p>
  </w:footnote>
  <w:footnote w:id="11">
    <w:p w14:paraId="641BC590"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 xml:space="preserve">Indicates the overarching field of learning under which the module is classified, as defined in the NQF Classification System. Namibia has 12 broad fields of learning. </w:t>
      </w:r>
    </w:p>
  </w:footnote>
  <w:footnote w:id="12">
    <w:p w14:paraId="1876FFAE"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Denotes the specific sub-category of learning within the broad field, ensuring accurate placement of the module in the NQF Classification System.</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Arial" w:hAnsi="Arial" w:eastAsia="Arial" w:cs="Arial"/>
        <w:sz w:val="20"/>
        <w:szCs w:val="20"/>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Arial" w:hAnsi="Arial" w:eastAsia="Arial" w:cs="Arial"/>
        <w:sz w:val="20"/>
        <w:szCs w:val="20"/>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Arial" w:hAnsi="Arial" w:eastAsia="Arial" w:cs="Arial"/>
        <w:sz w:val="20"/>
        <w:szCs w:val="20"/>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Arial" w:hAnsi="Arial" w:eastAsia="Arial" w:cs="Arial"/>
        <w:sz w:val="20"/>
        <w:szCs w:val="20"/>
      </w:rPr>
    </w:lvl>
  </w:abstractNum>
  <w:abstractNum w:abstractNumId="9" w15:restartNumberingAfterBreak="0">
    <w:nsid w:val="01652FE9"/>
    <w:multiLevelType w:val="hybridMultilevel"/>
    <w:tmpl w:val="87B80410"/>
    <w:lvl w:ilvl="0" w:tplc="08090001">
      <w:start w:val="1"/>
      <w:numFmt w:val="bullet"/>
      <w:lvlText w:val=""/>
      <w:lvlJc w:val="left"/>
      <w:pPr>
        <w:ind w:left="754" w:hanging="360"/>
      </w:pPr>
      <w:rPr>
        <w:rFonts w:ascii="Arial" w:hAnsi="Arial" w:eastAsia="Arial" w:cs="Arial"/>
        <w:sz w:val="20"/>
        <w:szCs w:val="20"/>
      </w:rPr>
    </w:lvl>
    <w:lvl w:ilvl="1" w:tplc="08090003" w:tentative="1">
      <w:start w:val="1"/>
      <w:numFmt w:val="bullet"/>
      <w:lvlText w:val="o"/>
      <w:lvlJc w:val="left"/>
      <w:pPr>
        <w:ind w:left="1474" w:hanging="360"/>
      </w:pPr>
      <w:rPr>
        <w:rFonts w:ascii="Arial" w:hAnsi="Arial" w:eastAsia="Arial" w:cs="Arial"/>
        <w:sz w:val="20"/>
        <w:szCs w:val="20"/>
      </w:rPr>
    </w:lvl>
    <w:lvl w:ilvl="2" w:tplc="08090005" w:tentative="1">
      <w:start w:val="1"/>
      <w:numFmt w:val="bullet"/>
      <w:lvlText w:val=""/>
      <w:lvlJc w:val="left"/>
      <w:pPr>
        <w:ind w:left="2194" w:hanging="360"/>
      </w:pPr>
      <w:rPr>
        <w:rFonts w:ascii="Arial" w:hAnsi="Arial" w:eastAsia="Arial" w:cs="Arial"/>
        <w:sz w:val="20"/>
        <w:szCs w:val="20"/>
      </w:rPr>
    </w:lvl>
    <w:lvl w:ilvl="3" w:tplc="08090001" w:tentative="1">
      <w:start w:val="1"/>
      <w:numFmt w:val="bullet"/>
      <w:lvlText w:val=""/>
      <w:lvlJc w:val="left"/>
      <w:pPr>
        <w:ind w:left="2914" w:hanging="360"/>
      </w:pPr>
      <w:rPr>
        <w:rFonts w:ascii="Arial" w:hAnsi="Arial" w:eastAsia="Arial" w:cs="Arial"/>
        <w:sz w:val="20"/>
        <w:szCs w:val="20"/>
      </w:rPr>
    </w:lvl>
    <w:lvl w:ilvl="4" w:tplc="08090003" w:tentative="1">
      <w:start w:val="1"/>
      <w:numFmt w:val="bullet"/>
      <w:lvlText w:val="o"/>
      <w:lvlJc w:val="left"/>
      <w:pPr>
        <w:ind w:left="3634" w:hanging="360"/>
      </w:pPr>
      <w:rPr>
        <w:rFonts w:ascii="Arial" w:hAnsi="Arial" w:eastAsia="Arial" w:cs="Arial"/>
        <w:sz w:val="20"/>
        <w:szCs w:val="20"/>
      </w:rPr>
    </w:lvl>
    <w:lvl w:ilvl="5" w:tplc="08090005" w:tentative="1">
      <w:start w:val="1"/>
      <w:numFmt w:val="bullet"/>
      <w:lvlText w:val=""/>
      <w:lvlJc w:val="left"/>
      <w:pPr>
        <w:ind w:left="4354" w:hanging="360"/>
      </w:pPr>
      <w:rPr>
        <w:rFonts w:ascii="Arial" w:hAnsi="Arial" w:eastAsia="Arial" w:cs="Arial"/>
        <w:sz w:val="20"/>
        <w:szCs w:val="20"/>
      </w:rPr>
    </w:lvl>
    <w:lvl w:ilvl="6" w:tplc="08090001" w:tentative="1">
      <w:start w:val="1"/>
      <w:numFmt w:val="bullet"/>
      <w:lvlText w:val=""/>
      <w:lvlJc w:val="left"/>
      <w:pPr>
        <w:ind w:left="5074" w:hanging="360"/>
      </w:pPr>
      <w:rPr>
        <w:rFonts w:ascii="Arial" w:hAnsi="Arial" w:eastAsia="Arial" w:cs="Arial"/>
        <w:sz w:val="20"/>
        <w:szCs w:val="20"/>
      </w:rPr>
    </w:lvl>
    <w:lvl w:ilvl="7" w:tplc="08090003" w:tentative="1">
      <w:start w:val="1"/>
      <w:numFmt w:val="bullet"/>
      <w:lvlText w:val="o"/>
      <w:lvlJc w:val="left"/>
      <w:pPr>
        <w:ind w:left="5794" w:hanging="360"/>
      </w:pPr>
      <w:rPr>
        <w:rFonts w:ascii="Arial" w:hAnsi="Arial" w:eastAsia="Arial" w:cs="Arial"/>
        <w:sz w:val="20"/>
        <w:szCs w:val="20"/>
      </w:rPr>
    </w:lvl>
    <w:lvl w:ilvl="8" w:tplc="08090005" w:tentative="1">
      <w:start w:val="1"/>
      <w:numFmt w:val="bullet"/>
      <w:lvlText w:val=""/>
      <w:lvlJc w:val="left"/>
      <w:pPr>
        <w:ind w:left="6514" w:hanging="360"/>
      </w:pPr>
      <w:rPr>
        <w:rFonts w:ascii="Arial" w:hAnsi="Arial" w:eastAsia="Arial" w:cs="Arial"/>
        <w:sz w:val="20"/>
        <w:szCs w:val="20"/>
      </w:rPr>
    </w:lvl>
  </w:abstractNum>
  <w:abstractNum w:abstractNumId="10" w15:restartNumberingAfterBreak="0">
    <w:nsid w:val="048F160C"/>
    <w:multiLevelType w:val="hybridMultilevel"/>
    <w:tmpl w:val="25220372"/>
    <w:lvl w:ilvl="0" w:tplc="3FDADC84">
      <w:start w:val="1"/>
      <w:numFmt w:val="decimal"/>
      <w:lvlText w:val="%1."/>
      <w:lvlJc w:val="left"/>
      <w:pPr>
        <w:ind w:left="57" w:firstLine="0"/>
      </w:pPr>
      <w:rPr>
        <w:rFonts w:ascii="Arial" w:hAnsi="Arial" w:eastAsia="Arial" w:cs="Arial"/>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96930CD"/>
    <w:multiLevelType w:val="multilevel"/>
    <w:tmpl w:val="379E2CDE"/>
    <w:lvl w:ilvl="0">
      <w:start w:val="1"/>
      <w:numFmt w:val="decimal"/>
      <w:lvlText w:val="%1."/>
      <w:lvlJc w:val="left"/>
      <w:pPr>
        <w:ind w:left="720" w:hanging="646"/>
      </w:pPr>
      <w:rPr>
        <w:rFonts w:ascii="Arial" w:hAnsi="Arial" w:eastAsia="Arial" w:cs="Ari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945C33"/>
    <w:multiLevelType w:val="multilevel"/>
    <w:tmpl w:val="281C173E"/>
    <w:lvl w:ilvl="0">
      <w:start w:val="1"/>
      <w:numFmt w:val="bullet"/>
      <w:lvlText w:val=""/>
      <w:lvlJc w:val="left"/>
      <w:pPr>
        <w:tabs>
          <w:tab w:val="num" w:pos="720"/>
        </w:tabs>
        <w:ind w:left="720" w:hanging="360"/>
      </w:pPr>
      <w:rPr>
        <w:rFonts w:ascii="Arial" w:hAnsi="Arial" w:eastAsia="Arial" w:cs="Arial"/>
        <w:sz w:val="20"/>
        <w:szCs w:val="20"/>
      </w:rPr>
    </w:lvl>
    <w:lvl w:ilvl="1" w:tentative="1">
      <w:start w:val="1"/>
      <w:numFmt w:val="bullet"/>
      <w:lvlText w:val="o"/>
      <w:lvlJc w:val="left"/>
      <w:pPr>
        <w:tabs>
          <w:tab w:val="num" w:pos="1440"/>
        </w:tabs>
        <w:ind w:left="1440" w:hanging="360"/>
      </w:pPr>
      <w:rPr>
        <w:rFonts w:ascii="Arial" w:hAnsi="Arial" w:eastAsia="Arial" w:cs="Arial"/>
        <w:sz w:val="20"/>
        <w:szCs w:val="20"/>
      </w:rPr>
    </w:lvl>
    <w:lvl w:ilvl="2" w:tentative="1">
      <w:start w:val="1"/>
      <w:numFmt w:val="bullet"/>
      <w:lvlText w:val=""/>
      <w:lvlJc w:val="left"/>
      <w:pPr>
        <w:tabs>
          <w:tab w:val="num" w:pos="2160"/>
        </w:tabs>
        <w:ind w:left="2160" w:hanging="360"/>
      </w:pPr>
      <w:rPr>
        <w:rFonts w:ascii="Arial" w:hAnsi="Arial" w:eastAsia="Arial" w:cs="Arial"/>
        <w:sz w:val="20"/>
        <w:szCs w:val="20"/>
      </w:rPr>
    </w:lvl>
    <w:lvl w:ilvl="3" w:tentative="1">
      <w:start w:val="1"/>
      <w:numFmt w:val="bullet"/>
      <w:lvlText w:val=""/>
      <w:lvlJc w:val="left"/>
      <w:pPr>
        <w:tabs>
          <w:tab w:val="num" w:pos="2880"/>
        </w:tabs>
        <w:ind w:left="2880" w:hanging="360"/>
      </w:pPr>
      <w:rPr>
        <w:rFonts w:ascii="Arial" w:hAnsi="Arial" w:eastAsia="Arial" w:cs="Arial"/>
        <w:sz w:val="20"/>
        <w:szCs w:val="20"/>
      </w:rPr>
    </w:lvl>
    <w:lvl w:ilvl="4" w:tentative="1">
      <w:start w:val="1"/>
      <w:numFmt w:val="bullet"/>
      <w:lvlText w:val=""/>
      <w:lvlJc w:val="left"/>
      <w:pPr>
        <w:tabs>
          <w:tab w:val="num" w:pos="3600"/>
        </w:tabs>
        <w:ind w:left="3600" w:hanging="360"/>
      </w:pPr>
      <w:rPr>
        <w:rFonts w:ascii="Arial" w:hAnsi="Arial" w:eastAsia="Arial" w:cs="Arial"/>
        <w:sz w:val="20"/>
        <w:szCs w:val="20"/>
      </w:rPr>
    </w:lvl>
    <w:lvl w:ilvl="5" w:tentative="1">
      <w:start w:val="1"/>
      <w:numFmt w:val="bullet"/>
      <w:lvlText w:val=""/>
      <w:lvlJc w:val="left"/>
      <w:pPr>
        <w:tabs>
          <w:tab w:val="num" w:pos="4320"/>
        </w:tabs>
        <w:ind w:left="4320" w:hanging="360"/>
      </w:pPr>
      <w:rPr>
        <w:rFonts w:ascii="Arial" w:hAnsi="Arial" w:eastAsia="Arial" w:cs="Arial"/>
        <w:sz w:val="20"/>
        <w:szCs w:val="20"/>
      </w:rPr>
    </w:lvl>
    <w:lvl w:ilvl="6" w:tentative="1">
      <w:start w:val="1"/>
      <w:numFmt w:val="bullet"/>
      <w:lvlText w:val=""/>
      <w:lvlJc w:val="left"/>
      <w:pPr>
        <w:tabs>
          <w:tab w:val="num" w:pos="5040"/>
        </w:tabs>
        <w:ind w:left="5040" w:hanging="360"/>
      </w:pPr>
      <w:rPr>
        <w:rFonts w:ascii="Arial" w:hAnsi="Arial" w:eastAsia="Arial" w:cs="Arial"/>
        <w:sz w:val="20"/>
        <w:szCs w:val="20"/>
      </w:rPr>
    </w:lvl>
    <w:lvl w:ilvl="7" w:tentative="1">
      <w:start w:val="1"/>
      <w:numFmt w:val="bullet"/>
      <w:lvlText w:val=""/>
      <w:lvlJc w:val="left"/>
      <w:pPr>
        <w:tabs>
          <w:tab w:val="num" w:pos="5760"/>
        </w:tabs>
        <w:ind w:left="5760" w:hanging="360"/>
      </w:pPr>
      <w:rPr>
        <w:rFonts w:ascii="Arial" w:hAnsi="Arial" w:eastAsia="Arial" w:cs="Arial"/>
        <w:sz w:val="20"/>
        <w:szCs w:val="20"/>
      </w:rPr>
    </w:lvl>
    <w:lvl w:ilvl="8" w:tentative="1">
      <w:start w:val="1"/>
      <w:numFmt w:val="bullet"/>
      <w:lvlText w:val=""/>
      <w:lvlJc w:val="left"/>
      <w:pPr>
        <w:tabs>
          <w:tab w:val="num" w:pos="6480"/>
        </w:tabs>
        <w:ind w:left="6480" w:hanging="360"/>
      </w:pPr>
      <w:rPr>
        <w:rFonts w:ascii="Arial" w:hAnsi="Arial" w:eastAsia="Arial" w:cs="Arial"/>
        <w:sz w:val="20"/>
        <w:szCs w:val="20"/>
      </w:rPr>
    </w:lvl>
  </w:abstractNum>
  <w:abstractNum w:abstractNumId="13" w15:restartNumberingAfterBreak="0">
    <w:nsid w:val="280F06E9"/>
    <w:multiLevelType w:val="multilevel"/>
    <w:tmpl w:val="281C173E"/>
    <w:lvl w:ilvl="0">
      <w:start w:val="1"/>
      <w:numFmt w:val="bullet"/>
      <w:lvlText w:val=""/>
      <w:lvlJc w:val="left"/>
      <w:pPr>
        <w:tabs>
          <w:tab w:val="num" w:pos="720"/>
        </w:tabs>
        <w:ind w:left="720" w:hanging="360"/>
      </w:pPr>
      <w:rPr>
        <w:rFonts w:ascii="Arial" w:hAnsi="Arial" w:eastAsia="Arial" w:cs="Arial"/>
        <w:sz w:val="20"/>
        <w:szCs w:val="20"/>
      </w:rPr>
    </w:lvl>
    <w:lvl w:ilvl="1" w:tentative="1">
      <w:start w:val="1"/>
      <w:numFmt w:val="bullet"/>
      <w:lvlText w:val="o"/>
      <w:lvlJc w:val="left"/>
      <w:pPr>
        <w:tabs>
          <w:tab w:val="num" w:pos="1440"/>
        </w:tabs>
        <w:ind w:left="1440" w:hanging="360"/>
      </w:pPr>
      <w:rPr>
        <w:rFonts w:ascii="Arial" w:hAnsi="Arial" w:eastAsia="Arial" w:cs="Arial"/>
        <w:sz w:val="20"/>
        <w:szCs w:val="20"/>
      </w:rPr>
    </w:lvl>
    <w:lvl w:ilvl="2" w:tentative="1">
      <w:start w:val="1"/>
      <w:numFmt w:val="bullet"/>
      <w:lvlText w:val=""/>
      <w:lvlJc w:val="left"/>
      <w:pPr>
        <w:tabs>
          <w:tab w:val="num" w:pos="2160"/>
        </w:tabs>
        <w:ind w:left="2160" w:hanging="360"/>
      </w:pPr>
      <w:rPr>
        <w:rFonts w:ascii="Arial" w:hAnsi="Arial" w:eastAsia="Arial" w:cs="Arial"/>
        <w:sz w:val="20"/>
        <w:szCs w:val="20"/>
      </w:rPr>
    </w:lvl>
    <w:lvl w:ilvl="3" w:tentative="1">
      <w:start w:val="1"/>
      <w:numFmt w:val="bullet"/>
      <w:lvlText w:val=""/>
      <w:lvlJc w:val="left"/>
      <w:pPr>
        <w:tabs>
          <w:tab w:val="num" w:pos="2880"/>
        </w:tabs>
        <w:ind w:left="2880" w:hanging="360"/>
      </w:pPr>
      <w:rPr>
        <w:rFonts w:ascii="Arial" w:hAnsi="Arial" w:eastAsia="Arial" w:cs="Arial"/>
        <w:sz w:val="20"/>
        <w:szCs w:val="20"/>
      </w:rPr>
    </w:lvl>
    <w:lvl w:ilvl="4" w:tentative="1">
      <w:start w:val="1"/>
      <w:numFmt w:val="bullet"/>
      <w:lvlText w:val=""/>
      <w:lvlJc w:val="left"/>
      <w:pPr>
        <w:tabs>
          <w:tab w:val="num" w:pos="3600"/>
        </w:tabs>
        <w:ind w:left="3600" w:hanging="360"/>
      </w:pPr>
      <w:rPr>
        <w:rFonts w:ascii="Arial" w:hAnsi="Arial" w:eastAsia="Arial" w:cs="Arial"/>
        <w:sz w:val="20"/>
        <w:szCs w:val="20"/>
      </w:rPr>
    </w:lvl>
    <w:lvl w:ilvl="5" w:tentative="1">
      <w:start w:val="1"/>
      <w:numFmt w:val="bullet"/>
      <w:lvlText w:val=""/>
      <w:lvlJc w:val="left"/>
      <w:pPr>
        <w:tabs>
          <w:tab w:val="num" w:pos="4320"/>
        </w:tabs>
        <w:ind w:left="4320" w:hanging="360"/>
      </w:pPr>
      <w:rPr>
        <w:rFonts w:ascii="Arial" w:hAnsi="Arial" w:eastAsia="Arial" w:cs="Arial"/>
        <w:sz w:val="20"/>
        <w:szCs w:val="20"/>
      </w:rPr>
    </w:lvl>
    <w:lvl w:ilvl="6" w:tentative="1">
      <w:start w:val="1"/>
      <w:numFmt w:val="bullet"/>
      <w:lvlText w:val=""/>
      <w:lvlJc w:val="left"/>
      <w:pPr>
        <w:tabs>
          <w:tab w:val="num" w:pos="5040"/>
        </w:tabs>
        <w:ind w:left="5040" w:hanging="360"/>
      </w:pPr>
      <w:rPr>
        <w:rFonts w:ascii="Arial" w:hAnsi="Arial" w:eastAsia="Arial" w:cs="Arial"/>
        <w:sz w:val="20"/>
        <w:szCs w:val="20"/>
      </w:rPr>
    </w:lvl>
    <w:lvl w:ilvl="7" w:tentative="1">
      <w:start w:val="1"/>
      <w:numFmt w:val="bullet"/>
      <w:lvlText w:val=""/>
      <w:lvlJc w:val="left"/>
      <w:pPr>
        <w:tabs>
          <w:tab w:val="num" w:pos="5760"/>
        </w:tabs>
        <w:ind w:left="5760" w:hanging="360"/>
      </w:pPr>
      <w:rPr>
        <w:rFonts w:ascii="Arial" w:hAnsi="Arial" w:eastAsia="Arial" w:cs="Arial"/>
        <w:sz w:val="20"/>
        <w:szCs w:val="20"/>
      </w:rPr>
    </w:lvl>
    <w:lvl w:ilvl="8" w:tentative="1">
      <w:start w:val="1"/>
      <w:numFmt w:val="bullet"/>
      <w:lvlText w:val=""/>
      <w:lvlJc w:val="left"/>
      <w:pPr>
        <w:tabs>
          <w:tab w:val="num" w:pos="6480"/>
        </w:tabs>
        <w:ind w:left="6480" w:hanging="360"/>
      </w:pPr>
      <w:rPr>
        <w:rFonts w:ascii="Arial" w:hAnsi="Arial" w:eastAsia="Arial" w:cs="Arial"/>
        <w:sz w:val="20"/>
        <w:szCs w:val="20"/>
      </w:rPr>
    </w:lvl>
  </w:abstractNum>
  <w:abstractNum w:abstractNumId="14" w15:restartNumberingAfterBreak="0">
    <w:nsid w:val="356A6F86"/>
    <w:multiLevelType w:val="hybridMultilevel"/>
    <w:tmpl w:val="E71E10CC"/>
    <w:lvl w:ilvl="0" w:tplc="FC7E37D8">
      <w:start w:val="1"/>
      <w:numFmt w:val="decimal"/>
      <w:lvlText w:val="%1."/>
      <w:lvlJc w:val="left"/>
      <w:pPr>
        <w:ind w:left="153" w:hanging="79"/>
      </w:pPr>
      <w:rPr>
        <w:rFonts w:ascii="Arial" w:hAnsi="Arial" w:eastAsia="Arial" w:cs="Arial"/>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5B7872"/>
    <w:multiLevelType w:val="hybridMultilevel"/>
    <w:tmpl w:val="E07A5780"/>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6" w15:restartNumberingAfterBreak="0">
    <w:nsid w:val="3B921EBB"/>
    <w:multiLevelType w:val="hybridMultilevel"/>
    <w:tmpl w:val="328C9506"/>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7" w15:restartNumberingAfterBreak="0">
    <w:nsid w:val="4E7637AC"/>
    <w:multiLevelType w:val="multilevel"/>
    <w:tmpl w:val="379E2CDE"/>
    <w:lvl w:ilvl="0">
      <w:start w:val="1"/>
      <w:numFmt w:val="decimal"/>
      <w:lvlText w:val="%1."/>
      <w:lvlJc w:val="left"/>
      <w:pPr>
        <w:ind w:left="720" w:hanging="646"/>
      </w:pPr>
      <w:rPr>
        <w:rFonts w:ascii="Arial" w:hAnsi="Arial" w:eastAsia="Arial" w:cs="Ari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4BA3E23"/>
    <w:multiLevelType w:val="hybridMultilevel"/>
    <w:tmpl w:val="2228CEB6"/>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9" w15:restartNumberingAfterBreak="0">
    <w:nsid w:val="5C5B4C04"/>
    <w:multiLevelType w:val="hybridMultilevel"/>
    <w:tmpl w:val="F396605E"/>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20" w15:restartNumberingAfterBreak="0">
    <w:nsid w:val="5D5A0A47"/>
    <w:multiLevelType w:val="hybridMultilevel"/>
    <w:tmpl w:val="47BA1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9154593">
    <w:abstractNumId w:val="8"/>
  </w:num>
  <w:num w:numId="2" w16cid:durableId="514196822">
    <w:abstractNumId w:val="6"/>
  </w:num>
  <w:num w:numId="3" w16cid:durableId="585722606">
    <w:abstractNumId w:val="5"/>
  </w:num>
  <w:num w:numId="4" w16cid:durableId="1316297286">
    <w:abstractNumId w:val="4"/>
  </w:num>
  <w:num w:numId="5" w16cid:durableId="70467570">
    <w:abstractNumId w:val="7"/>
  </w:num>
  <w:num w:numId="6" w16cid:durableId="1280601992">
    <w:abstractNumId w:val="3"/>
  </w:num>
  <w:num w:numId="7" w16cid:durableId="198469434">
    <w:abstractNumId w:val="2"/>
  </w:num>
  <w:num w:numId="8" w16cid:durableId="635068732">
    <w:abstractNumId w:val="1"/>
  </w:num>
  <w:num w:numId="9" w16cid:durableId="53358993">
    <w:abstractNumId w:val="0"/>
  </w:num>
  <w:num w:numId="10" w16cid:durableId="48576207">
    <w:abstractNumId w:val="20"/>
  </w:num>
  <w:num w:numId="11" w16cid:durableId="776099713">
    <w:abstractNumId w:val="12"/>
  </w:num>
  <w:num w:numId="12" w16cid:durableId="409624786">
    <w:abstractNumId w:val="13"/>
  </w:num>
  <w:num w:numId="13" w16cid:durableId="978264250">
    <w:abstractNumId w:val="14"/>
  </w:num>
  <w:num w:numId="14" w16cid:durableId="1306007237">
    <w:abstractNumId w:val="17"/>
  </w:num>
  <w:num w:numId="15" w16cid:durableId="1821650077">
    <w:abstractNumId w:val="16"/>
  </w:num>
  <w:num w:numId="16" w16cid:durableId="922836351">
    <w:abstractNumId w:val="10"/>
  </w:num>
  <w:num w:numId="17" w16cid:durableId="988632940">
    <w:abstractNumId w:val="18"/>
  </w:num>
  <w:num w:numId="18" w16cid:durableId="785008537">
    <w:abstractNumId w:val="9"/>
  </w:num>
  <w:num w:numId="19" w16cid:durableId="1844469305">
    <w:abstractNumId w:val="11"/>
  </w:num>
  <w:num w:numId="20" w16cid:durableId="1828594134">
    <w:abstractNumId w:val="15"/>
  </w:num>
  <w:num w:numId="21" w16cid:durableId="1430158343">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1C17"/>
    <w:rsid w:val="0015074B"/>
    <w:rsid w:val="0020464B"/>
    <w:rsid w:val="002601F3"/>
    <w:rsid w:val="00274B8B"/>
    <w:rsid w:val="0029639D"/>
    <w:rsid w:val="00326F90"/>
    <w:rsid w:val="00373D14"/>
    <w:rsid w:val="00374014"/>
    <w:rsid w:val="00484777"/>
    <w:rsid w:val="00552855"/>
    <w:rsid w:val="00594976"/>
    <w:rsid w:val="006B60C5"/>
    <w:rsid w:val="006F54F2"/>
    <w:rsid w:val="00705FB2"/>
    <w:rsid w:val="0082754C"/>
    <w:rsid w:val="00860303"/>
    <w:rsid w:val="00885E26"/>
    <w:rsid w:val="008B6C93"/>
    <w:rsid w:val="008F64FC"/>
    <w:rsid w:val="00932CEC"/>
    <w:rsid w:val="009D0658"/>
    <w:rsid w:val="00AA1D8D"/>
    <w:rsid w:val="00B31F24"/>
    <w:rsid w:val="00B47730"/>
    <w:rsid w:val="00BA2940"/>
    <w:rsid w:val="00C21F76"/>
    <w:rsid w:val="00C65B51"/>
    <w:rsid w:val="00CB0664"/>
    <w:rsid w:val="00DF45C1"/>
    <w:rsid w:val="00FC693F"/>
    <w:rsid w:val="00FF09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20C0C"/>
  <w14:defaultImageDpi w14:val="300"/>
  <w15:docId w15:val="{19112497-0207-0540-8254-ECD939F7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hAnsi="Arial" w:eastAsia="Arial" w:cs="Arial"/>
        <w:sz w:val="20"/>
        <w:szCs w:val="20"/>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hAnsi="Arial" w:eastAsia="Arial" w:cs="Arial"/>
      <w:color w:val="000000"/>
      <w:lang w:val="en-GB"/>
      <w:sz w:val="20"/>
      <w:szCs w:val="20"/>
    </w:rPr>
  </w:style>
  <w:style w:type="paragraph" w:styleId="Heading1">
    <w:name w:val="heading 1"/>
    <w:basedOn w:val="Normal"/>
    <w:next w:val="Normal"/>
    <w:link w:val="Heading1Char"/>
    <w:uiPriority w:val="9"/>
    <w:qFormat/>
    <w:rsid w:val="00FC693F"/>
    <w:pPr>
      <w:keepNext/>
      <w:keepLines/>
      <w:spacing w:before="200"/>
      <w:outlineLvl w:val="0"/>
    </w:pPr>
    <w:rPr>
      <w:rFonts w:ascii="Arial" w:hAnsi="Arial" w:eastAsia="Arial" w:cs="Arial"/>
      <w:b/>
      <w:bCs/>
      <w:sz w:val="20"/>
      <w:szCs w:val="20"/>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Arial" w:hAnsi="Arial" w:eastAsia="Arial" w:cs="Arial"/>
      <w:b/>
      <w:bCs/>
      <w:sz w:val="20"/>
      <w:szCs w:val="20"/>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Arial" w:hAnsi="Arial" w:eastAsia="Arial" w:cs="Arial"/>
      <w:b/>
      <w:bCs/>
      <w:sz w:val="20"/>
      <w:szCs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sz w:val="20"/>
      <w:szCs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sz w:val="20"/>
      <w:szCs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sz w:val="20"/>
      <w:szCs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sz w:val="20"/>
      <w:szCs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rPr>
      <w:rFonts w:ascii="Arial" w:hAnsi="Arial" w:eastAsia="Arial" w:cs="Arial"/>
      <w:sz w:val="20"/>
      <w:szCs w:val="20"/>
    </w:rPr>
    <w:name w:val="Default Paragraph Font"/>
    <w:uiPriority w:val="1"/>
    <w:semiHidden/>
    <w:unhideWhenUsed/>
  </w:style>
  <w:style w:type="table" w:default="1" w:styleId="TableNormal">
    <w:rPr>
      <w:rFonts w:ascii="Arial" w:hAnsi="Arial" w:eastAsia="Arial" w:cs="Arial"/>
      <w:sz w:val="20"/>
      <w:szCs w:val="20"/>
    </w:rPr>
    <w:name w:val="Normal Table"/>
    <w:uiPriority w:val="99"/>
    <w:semiHidden/>
    <w:unhideWhenUsed/>
    <w:tblPr>
      <w:tblInd w:w="0" w:type="dxa"/>
      <w:tblCellMar>
        <w:top w:w="0" w:type="dxa"/>
        <w:left w:w="108" w:type="dxa"/>
        <w:bottom w:w="0" w:type="dxa"/>
        <w:right w:w="108" w:type="dxa"/>
      </w:tblCellMar>
    </w:tblPr>
  </w:style>
  <w:style w:type="numbering" w:default="1" w:styleId="NoList">
    <w:rPr>
      <w:rFonts w:ascii="Arial" w:hAnsi="Arial" w:eastAsia="Arial" w:cs="Arial"/>
      <w:sz w:val="20"/>
      <w:szCs w:val="20"/>
    </w:rPr>
    <w:name w:val="No List"/>
    <w:uiPriority w:val="99"/>
    <w:semiHidden/>
    <w:unhideWhenUsed/>
  </w:style>
  <w:style w:type="paragraph" w:styleId="Header">
    <w:rPr>
      <w:rFonts w:ascii="Arial" w:hAnsi="Arial" w:eastAsia="Arial" w:cs="Arial"/>
      <w:sz w:val="20"/>
      <w:szCs w:val="20"/>
    </w:rP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rPr>
      <w:rFonts w:ascii="Arial" w:hAnsi="Arial" w:eastAsia="Arial" w:cs="Arial"/>
      <w:sz w:val="20"/>
      <w:szCs w:val="20"/>
    </w:rPr>
    <w:name w:val="Header Char"/>
    <w:basedOn w:val="DefaultParagraphFont"/>
    <w:link w:val="Header"/>
    <w:uiPriority w:val="99"/>
    <w:rsid w:val="00E618BF"/>
  </w:style>
  <w:style w:type="paragraph" w:styleId="Footer">
    <w:rPr>
      <w:rFonts w:ascii="Arial" w:hAnsi="Arial" w:eastAsia="Arial" w:cs="Arial"/>
      <w:sz w:val="20"/>
      <w:szCs w:val="20"/>
    </w:rP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rPr>
      <w:rFonts w:ascii="Arial" w:hAnsi="Arial" w:eastAsia="Arial" w:cs="Arial"/>
      <w:sz w:val="20"/>
      <w:szCs w:val="20"/>
    </w:rPr>
    <w:name w:val="Footer Char"/>
    <w:basedOn w:val="DefaultParagraphFont"/>
    <w:link w:val="Footer"/>
    <w:uiPriority w:val="99"/>
    <w:rsid w:val="00E618BF"/>
  </w:style>
  <w:style w:type="paragraph" w:styleId="NoSpacing">
    <w:rPr>
      <w:rFonts w:ascii="Arial" w:hAnsi="Arial" w:eastAsia="Arial" w:cs="Arial"/>
      <w:sz w:val="20"/>
      <w:szCs w:val="20"/>
    </w:rPr>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0"/>
      <w:szCs w:val="20"/>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0"/>
      <w:szCs w:val="20"/>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sz w:val="20"/>
      <w:szCs w:val="20"/>
    </w:rPr>
  </w:style>
  <w:style w:type="paragraph" w:styleId="Title">
    <w:name w:val="Title"/>
    <w:basedOn w:val="Normal"/>
    <w:next w:val="Normal"/>
    <w:link w:val="TitleChar"/>
    <w:uiPriority w:val="10"/>
    <w:qFormat/>
    <w:rsid w:val="00FC693F"/>
    <w:pPr>
      <w:keepNext/>
      <w:spacing w:after="200" w:line="240" w:lineRule="auto"/>
      <w:contextualSpacing/>
    </w:pPr>
    <w:rPr>
      <w:rFonts w:ascii="Arial" w:hAnsi="Arial" w:eastAsia="Arial" w:cs="Arial"/>
      <w:b/>
      <w:spacing w:val="5"/>
      <w:kern w:val="28"/>
      <w:sz w:val="20"/>
      <w:szCs w:val="20"/>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20"/>
      <w:szCs w:val="20"/>
    </w:rPr>
  </w:style>
  <w:style w:type="paragraph" w:styleId="Subtitle">
    <w:name w:val="Subtitle"/>
    <w:basedOn w:val="Normal"/>
    <w:next w:val="Normal"/>
    <w:link w:val="SubtitleChar"/>
    <w:uiPriority w:val="11"/>
    <w:qFormat/>
    <w:rsid w:val="00FC693F"/>
    <w:pPr>
      <w:keepNext/>
      <w:numPr>
        <w:ilvl w:val="1"/>
      </w:numPr>
      <w:spacing w:after="160"/>
    </w:pPr>
    <w:rPr>
      <w:rFonts w:ascii="Arial" w:hAnsi="Arial" w:eastAsia="Arial" w:cs="Arial"/>
      <w:i/>
      <w:iCs/>
      <w:spacing w:val="15"/>
      <w:sz w:val="20"/>
      <w:szCs w:val="20"/>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0"/>
      <w:szCs w:val="20"/>
    </w:rPr>
  </w:style>
  <w:style w:type="paragraph" w:styleId="ListParagraph">
    <w:rPr>
      <w:rFonts w:ascii="Arial" w:hAnsi="Arial" w:eastAsia="Arial" w:cs="Arial"/>
      <w:sz w:val="20"/>
      <w:szCs w:val="20"/>
    </w:rPr>
    <w:name w:val="List Paragraph"/>
    <w:basedOn w:val="Normal"/>
    <w:uiPriority w:val="34"/>
    <w:qFormat/>
    <w:rsid w:val="00FC693F"/>
    <w:pPr>
      <w:ind w:left="720"/>
      <w:contextualSpacing/>
    </w:pPr>
  </w:style>
  <w:style w:type="paragraph" w:styleId="BodyText">
    <w:rPr>
      <w:rFonts w:ascii="Arial" w:hAnsi="Arial" w:eastAsia="Arial" w:cs="Arial"/>
      <w:sz w:val="20"/>
      <w:szCs w:val="20"/>
    </w:rPr>
    <w:name w:val="Body Text"/>
    <w:basedOn w:val="Normal"/>
    <w:link w:val="BodyTextChar"/>
    <w:uiPriority w:val="99"/>
    <w:unhideWhenUsed/>
    <w:rsid w:val="00AA1D8D"/>
  </w:style>
  <w:style w:type="character" w:customStyle="1" w:styleId="BodyTextChar">
    <w:rPr>
      <w:rFonts w:ascii="Arial" w:hAnsi="Arial" w:eastAsia="Arial" w:cs="Arial"/>
      <w:sz w:val="20"/>
      <w:szCs w:val="20"/>
    </w:rPr>
    <w:name w:val="Body Text Char"/>
    <w:basedOn w:val="DefaultParagraphFont"/>
    <w:link w:val="BodyText"/>
    <w:uiPriority w:val="99"/>
    <w:rsid w:val="00AA1D8D"/>
  </w:style>
  <w:style w:type="paragraph" w:styleId="BodyText2">
    <w:rPr>
      <w:rFonts w:ascii="Arial" w:hAnsi="Arial" w:eastAsia="Arial" w:cs="Arial"/>
      <w:sz w:val="20"/>
      <w:szCs w:val="20"/>
    </w:rPr>
    <w:name w:val="Body Text 2"/>
    <w:basedOn w:val="Normal"/>
    <w:link w:val="BodyText2Char"/>
    <w:uiPriority w:val="99"/>
    <w:unhideWhenUsed/>
    <w:rsid w:val="00AA1D8D"/>
    <w:pPr>
      <w:spacing w:line="480" w:lineRule="auto"/>
    </w:pPr>
  </w:style>
  <w:style w:type="character" w:customStyle="1" w:styleId="BodyText2Char">
    <w:rPr>
      <w:rFonts w:ascii="Arial" w:hAnsi="Arial" w:eastAsia="Arial" w:cs="Arial"/>
      <w:sz w:val="20"/>
      <w:szCs w:val="20"/>
    </w:rP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20"/>
      <w:szCs w:val="20"/>
      <w:rFonts w:ascii="Arial" w:hAnsi="Arial" w:eastAsia="Arial" w:cs="Arial"/>
    </w:rPr>
  </w:style>
  <w:style w:type="character" w:customStyle="1" w:styleId="BodyText3Char">
    <w:name w:val="Body Text 3 Char"/>
    <w:basedOn w:val="DefaultParagraphFont"/>
    <w:link w:val="BodyText3"/>
    <w:uiPriority w:val="99"/>
    <w:rsid w:val="00AA1D8D"/>
    <w:rPr>
      <w:sz w:val="20"/>
      <w:szCs w:val="20"/>
      <w:rFonts w:ascii="Arial" w:hAnsi="Arial" w:eastAsia="Arial" w:cs="Arial"/>
    </w:rPr>
  </w:style>
  <w:style w:type="paragraph" w:styleId="List">
    <w:rPr>
      <w:rFonts w:ascii="Arial" w:hAnsi="Arial" w:eastAsia="Arial" w:cs="Arial"/>
      <w:sz w:val="20"/>
      <w:szCs w:val="20"/>
    </w:rPr>
    <w:name w:val="List"/>
    <w:basedOn w:val="Normal"/>
    <w:uiPriority w:val="99"/>
    <w:unhideWhenUsed/>
    <w:rsid w:val="00AA1D8D"/>
    <w:pPr>
      <w:ind w:left="360" w:hanging="360"/>
      <w:contextualSpacing/>
    </w:pPr>
  </w:style>
  <w:style w:type="paragraph" w:styleId="List2">
    <w:rPr>
      <w:rFonts w:ascii="Arial" w:hAnsi="Arial" w:eastAsia="Arial" w:cs="Arial"/>
      <w:sz w:val="20"/>
      <w:szCs w:val="20"/>
    </w:rPr>
    <w:name w:val="List 2"/>
    <w:basedOn w:val="Normal"/>
    <w:uiPriority w:val="99"/>
    <w:unhideWhenUsed/>
    <w:rsid w:val="00326F90"/>
    <w:pPr>
      <w:ind w:left="720" w:hanging="360"/>
      <w:contextualSpacing/>
    </w:pPr>
  </w:style>
  <w:style w:type="paragraph" w:styleId="List3">
    <w:rPr>
      <w:rFonts w:ascii="Arial" w:hAnsi="Arial" w:eastAsia="Arial" w:cs="Arial"/>
      <w:sz w:val="20"/>
      <w:szCs w:val="20"/>
    </w:rPr>
    <w:name w:val="List 3"/>
    <w:basedOn w:val="Normal"/>
    <w:uiPriority w:val="99"/>
    <w:unhideWhenUsed/>
    <w:rsid w:val="00326F90"/>
    <w:pPr>
      <w:ind w:left="1080" w:hanging="360"/>
      <w:contextualSpacing/>
    </w:pPr>
  </w:style>
  <w:style w:type="paragraph" w:styleId="ListBullet">
    <w:rPr>
      <w:rFonts w:ascii="Arial" w:hAnsi="Arial" w:eastAsia="Arial" w:cs="Arial"/>
      <w:sz w:val="20"/>
      <w:szCs w:val="20"/>
    </w:rPr>
    <w:name w:val="List Bullet"/>
    <w:basedOn w:val="Normal"/>
    <w:uiPriority w:val="99"/>
    <w:unhideWhenUsed/>
    <w:rsid w:val="00326F90"/>
    <w:pPr>
      <w:numPr>
        <w:numId w:val="1"/>
      </w:numPr>
      <w:contextualSpacing/>
    </w:pPr>
  </w:style>
  <w:style w:type="paragraph" w:styleId="ListBullet2">
    <w:rPr>
      <w:rFonts w:ascii="Arial" w:hAnsi="Arial" w:eastAsia="Arial" w:cs="Arial"/>
      <w:sz w:val="20"/>
      <w:szCs w:val="20"/>
    </w:rPr>
    <w:name w:val="List Bullet 2"/>
    <w:basedOn w:val="Normal"/>
    <w:uiPriority w:val="99"/>
    <w:unhideWhenUsed/>
    <w:rsid w:val="00326F90"/>
    <w:pPr>
      <w:numPr>
        <w:numId w:val="2"/>
      </w:numPr>
      <w:contextualSpacing/>
    </w:pPr>
  </w:style>
  <w:style w:type="paragraph" w:styleId="ListBullet3">
    <w:rPr>
      <w:rFonts w:ascii="Arial" w:hAnsi="Arial" w:eastAsia="Arial" w:cs="Arial"/>
      <w:sz w:val="20"/>
      <w:szCs w:val="20"/>
    </w:rPr>
    <w:name w:val="List Bullet 3"/>
    <w:basedOn w:val="Normal"/>
    <w:uiPriority w:val="99"/>
    <w:unhideWhenUsed/>
    <w:rsid w:val="00326F90"/>
    <w:pPr>
      <w:numPr>
        <w:numId w:val="3"/>
      </w:numPr>
      <w:contextualSpacing/>
    </w:pPr>
  </w:style>
  <w:style w:type="paragraph" w:styleId="ListNumber">
    <w:rPr>
      <w:rFonts w:ascii="Arial" w:hAnsi="Arial" w:eastAsia="Arial" w:cs="Arial"/>
      <w:sz w:val="20"/>
      <w:szCs w:val="20"/>
    </w:rPr>
    <w:name w:val="List Number"/>
    <w:basedOn w:val="Normal"/>
    <w:uiPriority w:val="99"/>
    <w:unhideWhenUsed/>
    <w:rsid w:val="00326F90"/>
    <w:pPr>
      <w:numPr>
        <w:numId w:val="5"/>
      </w:numPr>
      <w:contextualSpacing/>
    </w:pPr>
  </w:style>
  <w:style w:type="paragraph" w:styleId="ListNumber2">
    <w:rPr>
      <w:rFonts w:ascii="Arial" w:hAnsi="Arial" w:eastAsia="Arial" w:cs="Arial"/>
      <w:sz w:val="20"/>
      <w:szCs w:val="20"/>
    </w:rPr>
    <w:name w:val="List Number 2"/>
    <w:basedOn w:val="Normal"/>
    <w:uiPriority w:val="99"/>
    <w:unhideWhenUsed/>
    <w:rsid w:val="0029639D"/>
    <w:pPr>
      <w:numPr>
        <w:numId w:val="6"/>
      </w:numPr>
      <w:contextualSpacing/>
    </w:pPr>
  </w:style>
  <w:style w:type="paragraph" w:styleId="ListNumber3">
    <w:rPr>
      <w:rFonts w:ascii="Arial" w:hAnsi="Arial" w:eastAsia="Arial" w:cs="Arial"/>
      <w:sz w:val="20"/>
      <w:szCs w:val="20"/>
    </w:rPr>
    <w:name w:val="List Number 3"/>
    <w:basedOn w:val="Normal"/>
    <w:uiPriority w:val="99"/>
    <w:unhideWhenUsed/>
    <w:rsid w:val="0029639D"/>
    <w:pPr>
      <w:numPr>
        <w:numId w:val="7"/>
      </w:numPr>
      <w:contextualSpacing/>
    </w:pPr>
  </w:style>
  <w:style w:type="paragraph" w:styleId="ListContinue">
    <w:rPr>
      <w:rFonts w:ascii="Arial" w:hAnsi="Arial" w:eastAsia="Arial" w:cs="Arial"/>
      <w:sz w:val="20"/>
      <w:szCs w:val="20"/>
    </w:rPr>
    <w:name w:val="List Continue"/>
    <w:basedOn w:val="Normal"/>
    <w:uiPriority w:val="99"/>
    <w:unhideWhenUsed/>
    <w:rsid w:val="0029639D"/>
    <w:pPr>
      <w:ind w:left="360"/>
      <w:contextualSpacing/>
    </w:pPr>
  </w:style>
  <w:style w:type="paragraph" w:styleId="ListContinue2">
    <w:rPr>
      <w:rFonts w:ascii="Arial" w:hAnsi="Arial" w:eastAsia="Arial" w:cs="Arial"/>
      <w:sz w:val="20"/>
      <w:szCs w:val="20"/>
    </w:rPr>
    <w:name w:val="List Continue 2"/>
    <w:basedOn w:val="Normal"/>
    <w:uiPriority w:val="99"/>
    <w:unhideWhenUsed/>
    <w:rsid w:val="0029639D"/>
    <w:pPr>
      <w:ind w:left="720"/>
      <w:contextualSpacing/>
    </w:pPr>
  </w:style>
  <w:style w:type="paragraph" w:styleId="ListContinue3">
    <w:rPr>
      <w:rFonts w:ascii="Arial" w:hAnsi="Arial" w:eastAsia="Arial" w:cs="Arial"/>
      <w:sz w:val="20"/>
      <w:szCs w:val="20"/>
    </w:rPr>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Fonts w:ascii="Arial" w:hAnsi="Arial" w:eastAsia="Arial" w:cs="Arial"/>
      <w:sz w:val="20"/>
      <w:szCs w:val="20"/>
    </w:rPr>
  </w:style>
  <w:style w:type="character" w:customStyle="1" w:styleId="QuoteChar">
    <w:name w:val="Quote Char"/>
    <w:basedOn w:val="DefaultParagraphFont"/>
    <w:link w:val="Quote"/>
    <w:uiPriority w:val="29"/>
    <w:rsid w:val="00FC693F"/>
    <w:rPr>
      <w:i/>
      <w:iCs/>
      <w:color w:val="000000" w:themeColor="text1"/>
      <w:rFonts w:ascii="Arial" w:hAnsi="Arial" w:eastAsia="Arial" w:cs="Arial"/>
      <w:sz w:val="20"/>
      <w:szCs w:val="20"/>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sz w:val="20"/>
      <w:szCs w:val="20"/>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sz w:val="20"/>
      <w:szCs w:val="20"/>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sz w:val="20"/>
      <w:szCs w:val="20"/>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sz w:val="20"/>
      <w:szCs w:val="20"/>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0"/>
      <w:szCs w:val="20"/>
      <w:rFonts w:ascii="Arial" w:hAnsi="Arial" w:eastAsia="Arial" w:cs="Arial"/>
    </w:rPr>
  </w:style>
  <w:style w:type="character" w:styleId="Strong">
    <w:name w:val="Strong"/>
    <w:basedOn w:val="DefaultParagraphFont"/>
    <w:uiPriority w:val="22"/>
    <w:qFormat/>
    <w:rsid w:val="00FC693F"/>
    <w:rPr>
      <w:b/>
      <w:bCs/>
      <w:rFonts w:ascii="Arial" w:hAnsi="Arial" w:eastAsia="Arial" w:cs="Arial"/>
      <w:sz w:val="20"/>
      <w:szCs w:val="20"/>
    </w:rPr>
  </w:style>
  <w:style w:type="character" w:styleId="Emphasis">
    <w:name w:val="Emphasis"/>
    <w:basedOn w:val="DefaultParagraphFont"/>
    <w:uiPriority w:val="20"/>
    <w:qFormat/>
    <w:rsid w:val="00FC693F"/>
    <w:rPr>
      <w:i/>
      <w:iCs/>
      <w:rFonts w:ascii="Arial" w:hAnsi="Arial" w:eastAsia="Arial" w:cs="Arial"/>
      <w:sz w:val="20"/>
      <w:szCs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Fonts w:ascii="Arial" w:hAnsi="Arial" w:eastAsia="Arial" w:cs="Arial"/>
      <w:sz w:val="20"/>
      <w:szCs w:val="20"/>
    </w:rPr>
  </w:style>
  <w:style w:type="character" w:customStyle="1" w:styleId="IntenseQuoteChar">
    <w:name w:val="Intense Quote Char"/>
    <w:basedOn w:val="DefaultParagraphFont"/>
    <w:link w:val="IntenseQuote"/>
    <w:uiPriority w:val="30"/>
    <w:rsid w:val="00FC693F"/>
    <w:rPr>
      <w:b/>
      <w:bCs/>
      <w:i/>
      <w:iCs/>
      <w:color w:val="4F81BD" w:themeColor="accent1"/>
      <w:rFonts w:ascii="Arial" w:hAnsi="Arial" w:eastAsia="Arial" w:cs="Arial"/>
      <w:sz w:val="20"/>
      <w:szCs w:val="20"/>
    </w:rPr>
  </w:style>
  <w:style w:type="character" w:styleId="SubtleEmphasis">
    <w:name w:val="Subtle Emphasis"/>
    <w:basedOn w:val="DefaultParagraphFont"/>
    <w:uiPriority w:val="19"/>
    <w:qFormat/>
    <w:rsid w:val="00FC693F"/>
    <w:rPr>
      <w:i/>
      <w:iCs/>
      <w:color w:val="808080" w:themeColor="text1" w:themeTint="7F"/>
      <w:rFonts w:ascii="Arial" w:hAnsi="Arial" w:eastAsia="Arial" w:cs="Arial"/>
      <w:sz w:val="20"/>
      <w:szCs w:val="20"/>
    </w:rPr>
  </w:style>
  <w:style w:type="character" w:styleId="IntenseEmphasis">
    <w:name w:val="Intense Emphasis"/>
    <w:basedOn w:val="DefaultParagraphFont"/>
    <w:uiPriority w:val="21"/>
    <w:qFormat/>
    <w:rsid w:val="00FC693F"/>
    <w:rPr>
      <w:b/>
      <w:bCs/>
      <w:i/>
      <w:iCs/>
      <w:color w:val="4F81BD" w:themeColor="accent1"/>
      <w:rFonts w:ascii="Arial" w:hAnsi="Arial" w:eastAsia="Arial" w:cs="Arial"/>
      <w:sz w:val="20"/>
      <w:szCs w:val="20"/>
    </w:rPr>
  </w:style>
  <w:style w:type="character" w:styleId="SubtleReference">
    <w:name w:val="Subtle Reference"/>
    <w:basedOn w:val="DefaultParagraphFont"/>
    <w:uiPriority w:val="31"/>
    <w:qFormat/>
    <w:rsid w:val="00FC693F"/>
    <w:rPr>
      <w:smallCaps/>
      <w:color w:val="C0504D" w:themeColor="accent2"/>
      <w:u w:val="single"/>
      <w:rFonts w:ascii="Arial" w:hAnsi="Arial" w:eastAsia="Arial" w:cs="Arial"/>
      <w:sz w:val="20"/>
      <w:szCs w:val="20"/>
    </w:rPr>
  </w:style>
  <w:style w:type="character" w:styleId="IntenseReference">
    <w:name w:val="Intense Reference"/>
    <w:basedOn w:val="DefaultParagraphFont"/>
    <w:uiPriority w:val="32"/>
    <w:qFormat/>
    <w:rsid w:val="00FC693F"/>
    <w:rPr>
      <w:b/>
      <w:bCs/>
      <w:smallCaps/>
      <w:color w:val="C0504D" w:themeColor="accent2"/>
      <w:spacing w:val="5"/>
      <w:u w:val="single"/>
      <w:rFonts w:ascii="Arial" w:hAnsi="Arial" w:eastAsia="Arial" w:cs="Arial"/>
      <w:sz w:val="20"/>
      <w:szCs w:val="20"/>
    </w:rPr>
  </w:style>
  <w:style w:type="character" w:styleId="BookTitle">
    <w:name w:val="Book Title"/>
    <w:basedOn w:val="DefaultParagraphFont"/>
    <w:uiPriority w:val="33"/>
    <w:qFormat/>
    <w:rsid w:val="00FC693F"/>
    <w:rPr>
      <w:b/>
      <w:bCs/>
      <w:smallCaps/>
      <w:spacing w:val="5"/>
      <w:rFonts w:ascii="Arial" w:hAnsi="Arial" w:eastAsia="Arial" w:cs="Arial"/>
      <w:sz w:val="20"/>
      <w:szCs w:val="20"/>
    </w:rPr>
  </w:style>
  <w:style w:type="paragraph" w:styleId="TOCHeading">
    <w:rPr>
      <w:rFonts w:ascii="Arial" w:hAnsi="Arial" w:eastAsia="Arial" w:cs="Arial"/>
      <w:sz w:val="20"/>
      <w:szCs w:val="20"/>
    </w:rPr>
    <w:name w:val="TOC Heading"/>
    <w:basedOn w:val="Heading1"/>
    <w:next w:val="Normal"/>
    <w:uiPriority w:val="39"/>
    <w:semiHidden/>
    <w:unhideWhenUsed/>
    <w:qFormat/>
    <w:rsid w:val="00FC693F"/>
    <w:pPr>
      <w:outlineLvl w:val="9"/>
    </w:pPr>
  </w:style>
  <w:style w:type="table" w:styleId="TableGrid">
    <w:rPr>
      <w:rFonts w:ascii="Arial" w:hAnsi="Arial" w:eastAsia="Arial" w:cs="Arial"/>
      <w:sz w:val="20"/>
      <w:szCs w:val="20"/>
    </w:rPr>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Fonts w:ascii="Arial" w:hAnsi="Arial" w:eastAsia="Arial" w:cs="Arial"/>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Fonts w:ascii="Arial" w:hAnsi="Arial" w:eastAsia="Arial" w:cs="Arial"/>
        <w:sz w:val="20"/>
        <w:szCs w:val="20"/>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Fonts w:ascii="Arial" w:hAnsi="Arial" w:eastAsia="Arial" w:cs="Arial"/>
      <w:sz w:val="20"/>
      <w:szCs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Fonts w:ascii="Arial" w:hAnsi="Arial" w:eastAsia="Arial" w:cs="Arial"/>
        <w:sz w:val="20"/>
        <w:szCs w:val="20"/>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Fonts w:ascii="Arial" w:hAnsi="Arial" w:eastAsia="Arial" w:cs="Arial"/>
      <w:sz w:val="20"/>
      <w:szCs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Fonts w:ascii="Arial" w:hAnsi="Arial" w:eastAsia="Arial" w:cs="Arial"/>
        <w:sz w:val="20"/>
        <w:szCs w:val="20"/>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Fonts w:ascii="Arial" w:hAnsi="Arial" w:eastAsia="Arial" w:cs="Arial"/>
      <w:sz w:val="20"/>
      <w:szCs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Fonts w:ascii="Arial" w:hAnsi="Arial" w:eastAsia="Arial" w:cs="Arial"/>
        <w:sz w:val="20"/>
        <w:szCs w:val="20"/>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Fonts w:ascii="Arial" w:hAnsi="Arial" w:eastAsia="Arial" w:cs="Arial"/>
      <w:sz w:val="20"/>
      <w:szCs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Fonts w:ascii="Arial" w:hAnsi="Arial" w:eastAsia="Arial" w:cs="Arial"/>
        <w:sz w:val="20"/>
        <w:szCs w:val="20"/>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Fonts w:ascii="Arial" w:hAnsi="Arial" w:eastAsia="Arial" w:cs="Arial"/>
      <w:sz w:val="20"/>
      <w:szCs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Fonts w:ascii="Arial" w:hAnsi="Arial" w:eastAsia="Arial" w:cs="Arial"/>
        <w:sz w:val="20"/>
        <w:szCs w:val="20"/>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Fonts w:ascii="Arial" w:hAnsi="Arial" w:eastAsia="Arial" w:cs="Arial"/>
      <w:sz w:val="20"/>
      <w:szCs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Fonts w:ascii="Arial" w:hAnsi="Arial" w:eastAsia="Arial" w:cs="Arial"/>
        <w:sz w:val="20"/>
        <w:szCs w:val="20"/>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rPr>
      <w:rFonts w:ascii="Arial" w:hAnsi="Arial" w:eastAsia="Arial" w:cs="Arial"/>
      <w:sz w:val="20"/>
      <w:szCs w:val="20"/>
    </w:rPr>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000000" w:themeFill="text1"/>
      </w:tcPr>
    </w:tblStylePr>
    <w:tblStylePr w:type="lastRow">
      <w:pPr>
        <w:spacing w:before="0" w:after="0" w:line="240" w:lineRule="auto"/>
      </w:pPr>
      <w:rPr>
        <w:b/>
        <w:bCs/>
        <w:rFonts w:ascii="Arial" w:hAnsi="Arial" w:eastAsia="Arial" w:cs="Arial"/>
        <w:sz w:val="20"/>
        <w:szCs w:val="20"/>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rPr>
      <w:rFonts w:ascii="Arial" w:hAnsi="Arial" w:eastAsia="Arial" w:cs="Arial"/>
      <w:sz w:val="20"/>
      <w:szCs w:val="20"/>
    </w:rPr>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4F81BD" w:themeFill="accent1"/>
      </w:tcPr>
    </w:tblStylePr>
    <w:tblStylePr w:type="lastRow">
      <w:pPr>
        <w:spacing w:before="0" w:after="0" w:line="240" w:lineRule="auto"/>
      </w:pPr>
      <w:rPr>
        <w:b/>
        <w:bCs/>
        <w:rFonts w:ascii="Arial" w:hAnsi="Arial" w:eastAsia="Arial" w:cs="Arial"/>
        <w:sz w:val="20"/>
        <w:szCs w:val="20"/>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rPr>
      <w:rFonts w:ascii="Arial" w:hAnsi="Arial" w:eastAsia="Arial" w:cs="Arial"/>
      <w:sz w:val="20"/>
      <w:szCs w:val="20"/>
    </w:rPr>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C0504D" w:themeFill="accent2"/>
      </w:tcPr>
    </w:tblStylePr>
    <w:tblStylePr w:type="lastRow">
      <w:pPr>
        <w:spacing w:before="0" w:after="0" w:line="240" w:lineRule="auto"/>
      </w:pPr>
      <w:rPr>
        <w:b/>
        <w:bCs/>
        <w:rFonts w:ascii="Arial" w:hAnsi="Arial" w:eastAsia="Arial" w:cs="Arial"/>
        <w:sz w:val="20"/>
        <w:szCs w:val="20"/>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rPr>
      <w:rFonts w:ascii="Arial" w:hAnsi="Arial" w:eastAsia="Arial" w:cs="Arial"/>
      <w:sz w:val="20"/>
      <w:szCs w:val="20"/>
    </w:rPr>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9BBB59" w:themeFill="accent3"/>
      </w:tcPr>
    </w:tblStylePr>
    <w:tblStylePr w:type="lastRow">
      <w:pPr>
        <w:spacing w:before="0" w:after="0" w:line="240" w:lineRule="auto"/>
      </w:pPr>
      <w:rPr>
        <w:b/>
        <w:bCs/>
        <w:rFonts w:ascii="Arial" w:hAnsi="Arial" w:eastAsia="Arial" w:cs="Arial"/>
        <w:sz w:val="20"/>
        <w:szCs w:val="20"/>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rPr>
      <w:rFonts w:ascii="Arial" w:hAnsi="Arial" w:eastAsia="Arial" w:cs="Arial"/>
      <w:sz w:val="20"/>
      <w:szCs w:val="20"/>
    </w:rPr>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8064A2" w:themeFill="accent4"/>
      </w:tcPr>
    </w:tblStylePr>
    <w:tblStylePr w:type="lastRow">
      <w:pPr>
        <w:spacing w:before="0" w:after="0" w:line="240" w:lineRule="auto"/>
      </w:pPr>
      <w:rPr>
        <w:b/>
        <w:bCs/>
        <w:rFonts w:ascii="Arial" w:hAnsi="Arial" w:eastAsia="Arial" w:cs="Arial"/>
        <w:sz w:val="20"/>
        <w:szCs w:val="20"/>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rPr>
      <w:rFonts w:ascii="Arial" w:hAnsi="Arial" w:eastAsia="Arial" w:cs="Arial"/>
      <w:sz w:val="20"/>
      <w:szCs w:val="20"/>
    </w:rPr>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4BACC6" w:themeFill="accent5"/>
      </w:tcPr>
    </w:tblStylePr>
    <w:tblStylePr w:type="lastRow">
      <w:pPr>
        <w:spacing w:before="0" w:after="0" w:line="240" w:lineRule="auto"/>
      </w:pPr>
      <w:rPr>
        <w:b/>
        <w:bCs/>
        <w:rFonts w:ascii="Arial" w:hAnsi="Arial" w:eastAsia="Arial" w:cs="Arial"/>
        <w:sz w:val="20"/>
        <w:szCs w:val="20"/>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rPr>
      <w:rFonts w:ascii="Arial" w:hAnsi="Arial" w:eastAsia="Arial" w:cs="Arial"/>
      <w:sz w:val="20"/>
      <w:szCs w:val="20"/>
    </w:rPr>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F79646" w:themeFill="accent6"/>
      </w:tcPr>
    </w:tblStylePr>
    <w:tblStylePr w:type="lastRow">
      <w:pPr>
        <w:spacing w:before="0" w:after="0" w:line="240" w:lineRule="auto"/>
      </w:pPr>
      <w:rPr>
        <w:b/>
        <w:bCs/>
        <w:rFonts w:ascii="Arial" w:hAnsi="Arial" w:eastAsia="Arial" w:cs="Arial"/>
        <w:sz w:val="20"/>
        <w:szCs w:val="20"/>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rPr>
      <w:rFonts w:ascii="Arial" w:hAnsi="Arial" w:eastAsia="Arial" w:cs="Arial"/>
      <w:sz w:val="20"/>
      <w:szCs w:val="20"/>
    </w:rPr>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hAnsi="Arial" w:eastAsia="Arial" w:cs="Arial"/>
        <w:b/>
        <w:bCs/>
        <w:sz w:val="20"/>
        <w:szCs w:val="20"/>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sz w:val="20"/>
        <w:szCs w:val="20"/>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rPr>
      <w:rFonts w:ascii="Arial" w:hAnsi="Arial" w:eastAsia="Arial" w:cs="Arial"/>
      <w:sz w:val="20"/>
      <w:szCs w:val="20"/>
    </w:rPr>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hAnsi="Arial" w:eastAsia="Arial" w:cs="Arial"/>
        <w:b/>
        <w:bCs/>
        <w:sz w:val="20"/>
        <w:szCs w:val="20"/>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sz w:val="20"/>
        <w:szCs w:val="20"/>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rPr>
      <w:rFonts w:ascii="Arial" w:hAnsi="Arial" w:eastAsia="Arial" w:cs="Arial"/>
      <w:sz w:val="20"/>
      <w:szCs w:val="20"/>
    </w:rPr>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hAnsi="Arial" w:eastAsia="Arial" w:cs="Arial"/>
        <w:b/>
        <w:bCs/>
        <w:sz w:val="20"/>
        <w:szCs w:val="20"/>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sz w:val="20"/>
        <w:szCs w:val="20"/>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rPr>
      <w:rFonts w:ascii="Arial" w:hAnsi="Arial" w:eastAsia="Arial" w:cs="Arial"/>
      <w:sz w:val="20"/>
      <w:szCs w:val="20"/>
    </w:rPr>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hAnsi="Arial" w:eastAsia="Arial" w:cs="Arial"/>
        <w:b/>
        <w:bCs/>
        <w:sz w:val="20"/>
        <w:szCs w:val="20"/>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sz w:val="20"/>
        <w:szCs w:val="20"/>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rPr>
      <w:rFonts w:ascii="Arial" w:hAnsi="Arial" w:eastAsia="Arial" w:cs="Arial"/>
      <w:sz w:val="20"/>
      <w:szCs w:val="20"/>
    </w:rPr>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hAnsi="Arial" w:eastAsia="Arial" w:cs="Arial"/>
        <w:b/>
        <w:bCs/>
        <w:sz w:val="20"/>
        <w:szCs w:val="20"/>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sz w:val="20"/>
        <w:szCs w:val="20"/>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rPr>
      <w:rFonts w:ascii="Arial" w:hAnsi="Arial" w:eastAsia="Arial" w:cs="Arial"/>
      <w:sz w:val="20"/>
      <w:szCs w:val="20"/>
    </w:rPr>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hAnsi="Arial" w:eastAsia="Arial" w:cs="Arial"/>
        <w:b/>
        <w:bCs/>
        <w:sz w:val="20"/>
        <w:szCs w:val="20"/>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sz w:val="20"/>
        <w:szCs w:val="20"/>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rPr>
      <w:rFonts w:ascii="Arial" w:hAnsi="Arial" w:eastAsia="Arial" w:cs="Arial"/>
      <w:sz w:val="20"/>
      <w:szCs w:val="20"/>
    </w:rPr>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hAnsi="Arial" w:eastAsia="Arial" w:cs="Arial"/>
        <w:b/>
        <w:bCs/>
        <w:sz w:val="20"/>
        <w:szCs w:val="20"/>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sz w:val="20"/>
        <w:szCs w:val="20"/>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rPr>
      <w:rFonts w:ascii="Arial" w:hAnsi="Arial" w:eastAsia="Arial" w:cs="Arial"/>
      <w:sz w:val="20"/>
      <w:szCs w:val="20"/>
    </w:rPr>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Fonts w:ascii="Arial" w:hAnsi="Arial" w:eastAsia="Arial" w:cs="Arial"/>
        <w:sz w:val="20"/>
        <w:szCs w:val="20"/>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rPr>
      <w:rFonts w:ascii="Arial" w:hAnsi="Arial" w:eastAsia="Arial" w:cs="Arial"/>
      <w:sz w:val="20"/>
      <w:szCs w:val="20"/>
    </w:rPr>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Fonts w:ascii="Arial" w:hAnsi="Arial" w:eastAsia="Arial" w:cs="Arial"/>
        <w:sz w:val="20"/>
        <w:szCs w:val="20"/>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rPr>
      <w:rFonts w:ascii="Arial" w:hAnsi="Arial" w:eastAsia="Arial" w:cs="Arial"/>
      <w:sz w:val="20"/>
      <w:szCs w:val="20"/>
    </w:rPr>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Fonts w:ascii="Arial" w:hAnsi="Arial" w:eastAsia="Arial" w:cs="Arial"/>
        <w:sz w:val="20"/>
        <w:szCs w:val="20"/>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rPr>
      <w:rFonts w:ascii="Arial" w:hAnsi="Arial" w:eastAsia="Arial" w:cs="Arial"/>
      <w:sz w:val="20"/>
      <w:szCs w:val="20"/>
    </w:rPr>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Fonts w:ascii="Arial" w:hAnsi="Arial" w:eastAsia="Arial" w:cs="Arial"/>
        <w:sz w:val="20"/>
        <w:szCs w:val="20"/>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rPr>
      <w:rFonts w:ascii="Arial" w:hAnsi="Arial" w:eastAsia="Arial" w:cs="Arial"/>
      <w:sz w:val="20"/>
      <w:szCs w:val="20"/>
    </w:rPr>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Fonts w:ascii="Arial" w:hAnsi="Arial" w:eastAsia="Arial" w:cs="Arial"/>
        <w:sz w:val="20"/>
        <w:szCs w:val="20"/>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rPr>
      <w:rFonts w:ascii="Arial" w:hAnsi="Arial" w:eastAsia="Arial" w:cs="Arial"/>
      <w:sz w:val="20"/>
      <w:szCs w:val="20"/>
    </w:rPr>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Fonts w:ascii="Arial" w:hAnsi="Arial" w:eastAsia="Arial" w:cs="Arial"/>
        <w:sz w:val="20"/>
        <w:szCs w:val="20"/>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rPr>
      <w:rFonts w:ascii="Arial" w:hAnsi="Arial" w:eastAsia="Arial" w:cs="Arial"/>
      <w:sz w:val="20"/>
      <w:szCs w:val="20"/>
    </w:rPr>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Fonts w:ascii="Arial" w:hAnsi="Arial" w:eastAsia="Arial" w:cs="Arial"/>
        <w:sz w:val="20"/>
        <w:szCs w:val="20"/>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rPr>
      <w:rFonts w:ascii="Arial" w:hAnsi="Arial" w:eastAsia="Arial" w:cs="Arial"/>
      <w:sz w:val="20"/>
      <w:szCs w:val="20"/>
    </w:rPr>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1">
    <w:rPr>
      <w:rFonts w:ascii="Arial" w:hAnsi="Arial" w:eastAsia="Arial" w:cs="Arial"/>
      <w:sz w:val="20"/>
      <w:szCs w:val="20"/>
    </w:rPr>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2">
    <w:rPr>
      <w:rFonts w:ascii="Arial" w:hAnsi="Arial" w:eastAsia="Arial" w:cs="Arial"/>
      <w:sz w:val="20"/>
      <w:szCs w:val="20"/>
    </w:rPr>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3">
    <w:rPr>
      <w:rFonts w:ascii="Arial" w:hAnsi="Arial" w:eastAsia="Arial" w:cs="Arial"/>
      <w:sz w:val="20"/>
      <w:szCs w:val="20"/>
    </w:rPr>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4">
    <w:rPr>
      <w:rFonts w:ascii="Arial" w:hAnsi="Arial" w:eastAsia="Arial" w:cs="Arial"/>
      <w:sz w:val="20"/>
      <w:szCs w:val="20"/>
    </w:rPr>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5">
    <w:rPr>
      <w:rFonts w:ascii="Arial" w:hAnsi="Arial" w:eastAsia="Arial" w:cs="Arial"/>
      <w:sz w:val="20"/>
      <w:szCs w:val="20"/>
    </w:rPr>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6">
    <w:rPr>
      <w:rFonts w:ascii="Arial" w:hAnsi="Arial" w:eastAsia="Arial" w:cs="Arial"/>
      <w:sz w:val="20"/>
      <w:szCs w:val="20"/>
    </w:rPr>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000000" w:themeColor="text1"/>
        <w:bottom w:val="single" w:sz="8" w:space="0" w:color="000000" w:themeColor="text1"/>
      </w:tblBorders>
    </w:tblPr>
    <w:tblStylePr w:type="firstRow">
      <w:rPr>
        <w:rFonts w:ascii="Arial" w:hAnsi="Arial" w:eastAsia="Arial" w:cs="Arial"/>
        <w:sz w:val="20"/>
        <w:szCs w:val="20"/>
      </w:rPr>
      <w:tblPr/>
      <w:tcPr>
        <w:tcBorders>
          <w:top w:val="nil"/>
          <w:bottom w:val="single" w:sz="8" w:space="0" w:color="000000" w:themeColor="text1"/>
        </w:tcBorders>
      </w:tcPr>
    </w:tblStylePr>
    <w:tblStylePr w:type="lastRow">
      <w:rPr>
        <w:b/>
        <w:bCs/>
        <w:color w:val="1F497D" w:themeColor="text2"/>
        <w:rFonts w:ascii="Arial" w:hAnsi="Arial" w:eastAsia="Arial" w:cs="Arial"/>
        <w:sz w:val="20"/>
        <w:szCs w:val="20"/>
      </w:rPr>
      <w:tblPr/>
      <w:tcPr>
        <w:tcBorders>
          <w:top w:val="single" w:sz="8" w:space="0" w:color="000000" w:themeColor="text1"/>
          <w:bottom w:val="single" w:sz="8" w:space="0" w:color="000000" w:themeColor="tex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4F81BD" w:themeColor="accent1"/>
        <w:bottom w:val="single" w:sz="8" w:space="0" w:color="4F81BD" w:themeColor="accent1"/>
      </w:tblBorders>
    </w:tblPr>
    <w:tblStylePr w:type="firstRow">
      <w:rPr>
        <w:rFonts w:ascii="Arial" w:hAnsi="Arial" w:eastAsia="Arial" w:cs="Arial"/>
        <w:sz w:val="20"/>
        <w:szCs w:val="20"/>
      </w:rPr>
      <w:tblPr/>
      <w:tcPr>
        <w:tcBorders>
          <w:top w:val="nil"/>
          <w:bottom w:val="single" w:sz="8" w:space="0" w:color="4F81BD" w:themeColor="accent1"/>
        </w:tcBorders>
      </w:tcPr>
    </w:tblStylePr>
    <w:tblStylePr w:type="lastRow">
      <w:rPr>
        <w:b/>
        <w:bCs/>
        <w:color w:val="1F497D" w:themeColor="text2"/>
        <w:rFonts w:ascii="Arial" w:hAnsi="Arial" w:eastAsia="Arial" w:cs="Arial"/>
        <w:sz w:val="20"/>
        <w:szCs w:val="20"/>
      </w:rPr>
      <w:tblPr/>
      <w:tcPr>
        <w:tcBorders>
          <w:top w:val="single" w:sz="8" w:space="0" w:color="4F81BD" w:themeColor="accent1"/>
          <w:bottom w:val="single" w:sz="8" w:space="0" w:color="4F81BD" w:themeColor="accen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C0504D" w:themeColor="accent2"/>
        <w:bottom w:val="single" w:sz="8" w:space="0" w:color="C0504D" w:themeColor="accent2"/>
      </w:tblBorders>
    </w:tblPr>
    <w:tblStylePr w:type="firstRow">
      <w:rPr>
        <w:rFonts w:ascii="Arial" w:hAnsi="Arial" w:eastAsia="Arial" w:cs="Arial"/>
        <w:sz w:val="20"/>
        <w:szCs w:val="20"/>
      </w:rPr>
      <w:tblPr/>
      <w:tcPr>
        <w:tcBorders>
          <w:top w:val="nil"/>
          <w:bottom w:val="single" w:sz="8" w:space="0" w:color="C0504D" w:themeColor="accent2"/>
        </w:tcBorders>
      </w:tcPr>
    </w:tblStylePr>
    <w:tblStylePr w:type="lastRow">
      <w:rPr>
        <w:b/>
        <w:bCs/>
        <w:color w:val="1F497D" w:themeColor="text2"/>
        <w:rFonts w:ascii="Arial" w:hAnsi="Arial" w:eastAsia="Arial" w:cs="Arial"/>
        <w:sz w:val="20"/>
        <w:szCs w:val="20"/>
      </w:rPr>
      <w:tblPr/>
      <w:tcPr>
        <w:tcBorders>
          <w:top w:val="single" w:sz="8" w:space="0" w:color="C0504D" w:themeColor="accent2"/>
          <w:bottom w:val="single" w:sz="8" w:space="0" w:color="C0504D" w:themeColor="accent2"/>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9BBB59" w:themeColor="accent3"/>
        <w:bottom w:val="single" w:sz="8" w:space="0" w:color="9BBB59" w:themeColor="accent3"/>
      </w:tblBorders>
    </w:tblPr>
    <w:tblStylePr w:type="firstRow">
      <w:rPr>
        <w:rFonts w:ascii="Arial" w:hAnsi="Arial" w:eastAsia="Arial" w:cs="Arial"/>
        <w:sz w:val="20"/>
        <w:szCs w:val="20"/>
      </w:rPr>
      <w:tblPr/>
      <w:tcPr>
        <w:tcBorders>
          <w:top w:val="nil"/>
          <w:bottom w:val="single" w:sz="8" w:space="0" w:color="9BBB59" w:themeColor="accent3"/>
        </w:tcBorders>
      </w:tcPr>
    </w:tblStylePr>
    <w:tblStylePr w:type="lastRow">
      <w:rPr>
        <w:b/>
        <w:bCs/>
        <w:color w:val="1F497D" w:themeColor="text2"/>
        <w:rFonts w:ascii="Arial" w:hAnsi="Arial" w:eastAsia="Arial" w:cs="Arial"/>
        <w:sz w:val="20"/>
        <w:szCs w:val="20"/>
      </w:rPr>
      <w:tblPr/>
      <w:tcPr>
        <w:tcBorders>
          <w:top w:val="single" w:sz="8" w:space="0" w:color="9BBB59" w:themeColor="accent3"/>
          <w:bottom w:val="single" w:sz="8" w:space="0" w:color="9BBB59" w:themeColor="accent3"/>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8064A2" w:themeColor="accent4"/>
        <w:bottom w:val="single" w:sz="8" w:space="0" w:color="8064A2" w:themeColor="accent4"/>
      </w:tblBorders>
    </w:tblPr>
    <w:tblStylePr w:type="firstRow">
      <w:rPr>
        <w:rFonts w:ascii="Arial" w:hAnsi="Arial" w:eastAsia="Arial" w:cs="Arial"/>
        <w:sz w:val="20"/>
        <w:szCs w:val="20"/>
      </w:rPr>
      <w:tblPr/>
      <w:tcPr>
        <w:tcBorders>
          <w:top w:val="nil"/>
          <w:bottom w:val="single" w:sz="8" w:space="0" w:color="8064A2" w:themeColor="accent4"/>
        </w:tcBorders>
      </w:tcPr>
    </w:tblStylePr>
    <w:tblStylePr w:type="lastRow">
      <w:rPr>
        <w:b/>
        <w:bCs/>
        <w:color w:val="1F497D" w:themeColor="text2"/>
        <w:rFonts w:ascii="Arial" w:hAnsi="Arial" w:eastAsia="Arial" w:cs="Arial"/>
        <w:sz w:val="20"/>
        <w:szCs w:val="20"/>
      </w:rPr>
      <w:tblPr/>
      <w:tcPr>
        <w:tcBorders>
          <w:top w:val="single" w:sz="8" w:space="0" w:color="8064A2" w:themeColor="accent4"/>
          <w:bottom w:val="single" w:sz="8" w:space="0" w:color="8064A2" w:themeColor="accent4"/>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4BACC6" w:themeColor="accent5"/>
        <w:bottom w:val="single" w:sz="8" w:space="0" w:color="4BACC6" w:themeColor="accent5"/>
      </w:tblBorders>
    </w:tblPr>
    <w:tblStylePr w:type="firstRow">
      <w:rPr>
        <w:rFonts w:ascii="Arial" w:hAnsi="Arial" w:eastAsia="Arial" w:cs="Arial"/>
        <w:sz w:val="20"/>
        <w:szCs w:val="20"/>
      </w:rPr>
      <w:tblPr/>
      <w:tcPr>
        <w:tcBorders>
          <w:top w:val="nil"/>
          <w:bottom w:val="single" w:sz="8" w:space="0" w:color="4BACC6" w:themeColor="accent5"/>
        </w:tcBorders>
      </w:tcPr>
    </w:tblStylePr>
    <w:tblStylePr w:type="lastRow">
      <w:rPr>
        <w:b/>
        <w:bCs/>
        <w:color w:val="1F497D" w:themeColor="text2"/>
        <w:rFonts w:ascii="Arial" w:hAnsi="Arial" w:eastAsia="Arial" w:cs="Arial"/>
        <w:sz w:val="20"/>
        <w:szCs w:val="20"/>
      </w:rPr>
      <w:tblPr/>
      <w:tcPr>
        <w:tcBorders>
          <w:top w:val="single" w:sz="8" w:space="0" w:color="4BACC6" w:themeColor="accent5"/>
          <w:bottom w:val="single" w:sz="8" w:space="0" w:color="4BACC6" w:themeColor="accent5"/>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F79646" w:themeColor="accent6"/>
        <w:bottom w:val="single" w:sz="8" w:space="0" w:color="F79646" w:themeColor="accent6"/>
      </w:tblBorders>
    </w:tblPr>
    <w:tblStylePr w:type="firstRow">
      <w:rPr>
        <w:rFonts w:ascii="Arial" w:hAnsi="Arial" w:eastAsia="Arial" w:cs="Arial"/>
        <w:sz w:val="20"/>
        <w:szCs w:val="20"/>
      </w:rPr>
      <w:tblPr/>
      <w:tcPr>
        <w:tcBorders>
          <w:top w:val="nil"/>
          <w:bottom w:val="single" w:sz="8" w:space="0" w:color="F79646" w:themeColor="accent6"/>
        </w:tcBorders>
      </w:tcPr>
    </w:tblStylePr>
    <w:tblStylePr w:type="lastRow">
      <w:rPr>
        <w:b/>
        <w:bCs/>
        <w:color w:val="1F497D" w:themeColor="text2"/>
        <w:rFonts w:ascii="Arial" w:hAnsi="Arial" w:eastAsia="Arial" w:cs="Arial"/>
        <w:sz w:val="20"/>
        <w:szCs w:val="20"/>
      </w:rPr>
      <w:tblPr/>
      <w:tcPr>
        <w:tcBorders>
          <w:top w:val="single" w:sz="8" w:space="0" w:color="F79646" w:themeColor="accent6"/>
          <w:bottom w:val="single" w:sz="8" w:space="0" w:color="F79646" w:themeColor="accent6"/>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0"/>
        <w:szCs w:val="20"/>
        <w:rFonts w:ascii="Arial" w:hAnsi="Arial" w:eastAsia="Arial" w:cs="Arial"/>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0"/>
        <w:szCs w:val="20"/>
        <w:rFonts w:ascii="Arial" w:hAnsi="Arial" w:eastAsia="Arial" w:cs="Arial"/>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0"/>
        <w:szCs w:val="20"/>
        <w:rFonts w:ascii="Arial" w:hAnsi="Arial" w:eastAsia="Arial" w:cs="Arial"/>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0"/>
        <w:szCs w:val="20"/>
        <w:rFonts w:ascii="Arial" w:hAnsi="Arial" w:eastAsia="Arial" w:cs="Arial"/>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0"/>
        <w:szCs w:val="20"/>
        <w:rFonts w:ascii="Arial" w:hAnsi="Arial" w:eastAsia="Arial" w:cs="Arial"/>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0"/>
        <w:szCs w:val="20"/>
        <w:rFonts w:ascii="Arial" w:hAnsi="Arial" w:eastAsia="Arial" w:cs="Arial"/>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0"/>
        <w:szCs w:val="20"/>
        <w:rFonts w:ascii="Arial" w:hAnsi="Arial" w:eastAsia="Arial" w:cs="Arial"/>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rPr>
      <w:rFonts w:ascii="Arial" w:hAnsi="Arial" w:eastAsia="Arial" w:cs="Arial"/>
      <w:sz w:val="20"/>
      <w:szCs w:val="20"/>
    </w:rPr>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404040" w:themeColor="text1"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rPr>
      <w:rFonts w:ascii="Arial" w:hAnsi="Arial" w:eastAsia="Arial" w:cs="Arial"/>
      <w:sz w:val="20"/>
      <w:szCs w:val="20"/>
    </w:rPr>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7BA0CD" w:themeColor="accent1"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rPr>
      <w:rFonts w:ascii="Arial" w:hAnsi="Arial" w:eastAsia="Arial" w:cs="Arial"/>
      <w:sz w:val="20"/>
      <w:szCs w:val="20"/>
    </w:rPr>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CF7B79" w:themeColor="accent2"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rPr>
      <w:rFonts w:ascii="Arial" w:hAnsi="Arial" w:eastAsia="Arial" w:cs="Arial"/>
      <w:sz w:val="20"/>
      <w:szCs w:val="20"/>
    </w:rPr>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B3CC82" w:themeColor="accent3"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rPr>
      <w:rFonts w:ascii="Arial" w:hAnsi="Arial" w:eastAsia="Arial" w:cs="Arial"/>
      <w:sz w:val="20"/>
      <w:szCs w:val="20"/>
    </w:rPr>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9F8AB9" w:themeColor="accent4"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rPr>
      <w:rFonts w:ascii="Arial" w:hAnsi="Arial" w:eastAsia="Arial" w:cs="Arial"/>
      <w:sz w:val="20"/>
      <w:szCs w:val="20"/>
    </w:rPr>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78C0D4" w:themeColor="accent5"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rPr>
      <w:rFonts w:ascii="Arial" w:hAnsi="Arial" w:eastAsia="Arial" w:cs="Arial"/>
      <w:sz w:val="20"/>
      <w:szCs w:val="20"/>
    </w:rPr>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F9B074" w:themeColor="accent6"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Fonts w:ascii="Arial" w:hAnsi="Arial" w:eastAsia="Arial" w:cs="Arial"/>
        <w:sz w:val="20"/>
        <w:szCs w:val="20"/>
      </w:rPr>
      <w:tblPr/>
      <w:tcPr>
        <w:shd w:val="clear" w:color="auto" w:fill="E6E6E6" w:themeFill="text1"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Fonts w:ascii="Arial" w:hAnsi="Arial" w:eastAsia="Arial" w:cs="Arial"/>
        <w:sz w:val="20"/>
        <w:szCs w:val="20"/>
      </w:rPr>
      <w:tblPr/>
      <w:tcPr>
        <w:shd w:val="clear" w:color="auto" w:fill="EDF2F8" w:themeFill="accent1"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Fonts w:ascii="Arial" w:hAnsi="Arial" w:eastAsia="Arial" w:cs="Arial"/>
        <w:sz w:val="20"/>
        <w:szCs w:val="20"/>
      </w:rPr>
      <w:tblPr/>
      <w:tcPr>
        <w:shd w:val="clear" w:color="auto" w:fill="F8EDED" w:themeFill="accent2"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Fonts w:ascii="Arial" w:hAnsi="Arial" w:eastAsia="Arial" w:cs="Arial"/>
        <w:sz w:val="20"/>
        <w:szCs w:val="20"/>
      </w:rPr>
      <w:tblPr/>
      <w:tcPr>
        <w:shd w:val="clear" w:color="auto" w:fill="F5F8EE" w:themeFill="accent3"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Fonts w:ascii="Arial" w:hAnsi="Arial" w:eastAsia="Arial" w:cs="Arial"/>
        <w:sz w:val="20"/>
        <w:szCs w:val="20"/>
      </w:rPr>
      <w:tblPr/>
      <w:tcPr>
        <w:shd w:val="clear" w:color="auto" w:fill="F2EFF6" w:themeFill="accent4"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Fonts w:ascii="Arial" w:hAnsi="Arial" w:eastAsia="Arial" w:cs="Arial"/>
        <w:sz w:val="20"/>
        <w:szCs w:val="20"/>
      </w:rPr>
      <w:tblPr/>
      <w:tcPr>
        <w:shd w:val="clear" w:color="auto" w:fill="EDF6F9" w:themeFill="accent5"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Fonts w:ascii="Arial" w:hAnsi="Arial" w:eastAsia="Arial" w:cs="Arial"/>
        <w:sz w:val="20"/>
        <w:szCs w:val="20"/>
      </w:rPr>
      <w:tblPr/>
      <w:tcPr>
        <w:shd w:val="clear" w:color="auto" w:fill="FEF4EC" w:themeFill="accent6"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rPr>
      <w:rFonts w:ascii="Arial" w:hAnsi="Arial" w:eastAsia="Arial" w:cs="Arial"/>
      <w:sz w:val="20"/>
      <w:szCs w:val="20"/>
    </w:rPr>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rPr>
      <w:rFonts w:ascii="Arial" w:hAnsi="Arial" w:eastAsia="Arial" w:cs="Arial"/>
      <w:sz w:val="20"/>
      <w:szCs w:val="20"/>
    </w:rPr>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rPr>
      <w:rFonts w:ascii="Arial" w:hAnsi="Arial" w:eastAsia="Arial" w:cs="Arial"/>
      <w:sz w:val="20"/>
      <w:szCs w:val="20"/>
    </w:rPr>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rPr>
      <w:rFonts w:ascii="Arial" w:hAnsi="Arial" w:eastAsia="Arial" w:cs="Arial"/>
      <w:sz w:val="20"/>
      <w:szCs w:val="20"/>
    </w:rPr>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rPr>
      <w:rFonts w:ascii="Arial" w:hAnsi="Arial" w:eastAsia="Arial" w:cs="Arial"/>
      <w:sz w:val="20"/>
      <w:szCs w:val="20"/>
    </w:rPr>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rPr>
      <w:rFonts w:ascii="Arial" w:hAnsi="Arial" w:eastAsia="Arial" w:cs="Arial"/>
      <w:sz w:val="20"/>
      <w:szCs w:val="20"/>
    </w:rPr>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rPr>
      <w:rFonts w:ascii="Arial" w:hAnsi="Arial" w:eastAsia="Arial" w:cs="Arial"/>
      <w:sz w:val="20"/>
      <w:szCs w:val="20"/>
    </w:rPr>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000000" w:themeFill="text1"/>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4F81BD" w:themeFill="accent1"/>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C0504D" w:themeFill="accent2"/>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9BBB59" w:themeFill="accent3"/>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8064A2" w:themeFill="accent4"/>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4BACC6" w:themeFill="accent5"/>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F79646" w:themeFill="accent6"/>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000000" w:themeFill="text1"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1">
    <w:name w:val="Colorful Shading Accent 1"/>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2C4C74" w:themeFill="accent1"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2">
    <w:name w:val="Colorful Shading Accent 2"/>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772C2A" w:themeFill="accent2"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3">
    <w:name w:val="Colorful Shading Accent 3"/>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Fonts w:ascii="Arial" w:hAnsi="Arial" w:eastAsia="Arial" w:cs="Arial"/>
        <w:sz w:val="20"/>
        <w:szCs w:val="20"/>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5E7530" w:themeFill="accent3"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Fonts w:ascii="Arial" w:hAnsi="Arial" w:eastAsia="Arial" w:cs="Arial"/>
        <w:sz w:val="20"/>
        <w:szCs w:val="20"/>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4C3B62" w:themeFill="accent4"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5">
    <w:name w:val="Colorful Shading Accent 5"/>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Fonts w:ascii="Arial" w:hAnsi="Arial" w:eastAsia="Arial" w:cs="Arial"/>
        <w:sz w:val="20"/>
        <w:szCs w:val="20"/>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276A7C" w:themeFill="accent5"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6">
    <w:name w:val="Colorful Shading Accent 6"/>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Fonts w:ascii="Arial" w:hAnsi="Arial" w:eastAsia="Arial" w:cs="Arial"/>
        <w:sz w:val="20"/>
        <w:szCs w:val="20"/>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B65608" w:themeFill="accent6"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List">
    <w:name w:val="Colorful List"/>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6E6E6" w:themeFill="text1"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DF2F8" w:themeFill="accent1"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8EDED" w:themeFill="accent2"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5F8EE" w:themeFill="accent3"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2EFF6" w:themeFill="accent4"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DF6F9" w:themeFill="accent5"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EF4EC" w:themeFill="accent6"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Fonts w:ascii="Arial" w:hAnsi="Arial" w:eastAsia="Arial" w:cs="Arial"/>
        <w:sz w:val="20"/>
        <w:szCs w:val="20"/>
      </w:rPr>
      <w:tblPr/>
      <w:tcPr>
        <w:shd w:val="clear" w:color="auto" w:fill="999999" w:themeFill="text1" w:themeFillTint="66"/>
      </w:tcPr>
    </w:tblStylePr>
    <w:tblStylePr w:type="lastRow">
      <w:rPr>
        <w:b/>
        <w:bCs/>
        <w:color w:val="000000" w:themeColor="text1"/>
        <w:rFonts w:ascii="Arial" w:hAnsi="Arial" w:eastAsia="Arial" w:cs="Arial"/>
        <w:sz w:val="20"/>
        <w:szCs w:val="20"/>
      </w:rPr>
      <w:tblPr/>
      <w:tcPr>
        <w:shd w:val="clear" w:color="auto" w:fill="999999" w:themeFill="text1" w:themeFillTint="66"/>
      </w:tcPr>
    </w:tblStylePr>
    <w:tblStylePr w:type="firstCol">
      <w:rPr>
        <w:color w:val="FFFFFF" w:themeColor="background1"/>
        <w:rFonts w:ascii="Arial" w:hAnsi="Arial" w:eastAsia="Arial" w:cs="Arial"/>
        <w:sz w:val="20"/>
        <w:szCs w:val="20"/>
      </w:rPr>
      <w:tblPr/>
      <w:tcPr>
        <w:shd w:val="clear" w:color="auto" w:fill="000000" w:themeFill="text1" w:themeFillShade="BF"/>
      </w:tcPr>
    </w:tblStylePr>
    <w:tblStylePr w:type="lastCol">
      <w:rPr>
        <w:color w:val="FFFFFF" w:themeColor="background1"/>
        <w:rFonts w:ascii="Arial" w:hAnsi="Arial" w:eastAsia="Arial" w:cs="Arial"/>
        <w:sz w:val="20"/>
        <w:szCs w:val="2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Fonts w:ascii="Arial" w:hAnsi="Arial" w:eastAsia="Arial" w:cs="Arial"/>
        <w:sz w:val="20"/>
        <w:szCs w:val="20"/>
      </w:rPr>
      <w:tblPr/>
      <w:tcPr>
        <w:shd w:val="clear" w:color="auto" w:fill="B8CCE4" w:themeFill="accent1" w:themeFillTint="66"/>
      </w:tcPr>
    </w:tblStylePr>
    <w:tblStylePr w:type="lastRow">
      <w:rPr>
        <w:b/>
        <w:bCs/>
        <w:color w:val="000000" w:themeColor="text1"/>
        <w:rFonts w:ascii="Arial" w:hAnsi="Arial" w:eastAsia="Arial" w:cs="Arial"/>
        <w:sz w:val="20"/>
        <w:szCs w:val="20"/>
      </w:rPr>
      <w:tblPr/>
      <w:tcPr>
        <w:shd w:val="clear" w:color="auto" w:fill="B8CCE4" w:themeFill="accent1" w:themeFillTint="66"/>
      </w:tcPr>
    </w:tblStylePr>
    <w:tblStylePr w:type="firstCol">
      <w:rPr>
        <w:color w:val="FFFFFF" w:themeColor="background1"/>
        <w:rFonts w:ascii="Arial" w:hAnsi="Arial" w:eastAsia="Arial" w:cs="Arial"/>
        <w:sz w:val="20"/>
        <w:szCs w:val="20"/>
      </w:rPr>
      <w:tblPr/>
      <w:tcPr>
        <w:shd w:val="clear" w:color="auto" w:fill="365F91" w:themeFill="accent1" w:themeFillShade="BF"/>
      </w:tcPr>
    </w:tblStylePr>
    <w:tblStylePr w:type="lastCol">
      <w:rPr>
        <w:color w:val="FFFFFF" w:themeColor="background1"/>
        <w:rFonts w:ascii="Arial" w:hAnsi="Arial" w:eastAsia="Arial" w:cs="Arial"/>
        <w:sz w:val="20"/>
        <w:szCs w:val="2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Fonts w:ascii="Arial" w:hAnsi="Arial" w:eastAsia="Arial" w:cs="Arial"/>
        <w:sz w:val="20"/>
        <w:szCs w:val="20"/>
      </w:rPr>
      <w:tblPr/>
      <w:tcPr>
        <w:shd w:val="clear" w:color="auto" w:fill="E5B8B7" w:themeFill="accent2" w:themeFillTint="66"/>
      </w:tcPr>
    </w:tblStylePr>
    <w:tblStylePr w:type="lastRow">
      <w:rPr>
        <w:b/>
        <w:bCs/>
        <w:color w:val="000000" w:themeColor="text1"/>
        <w:rFonts w:ascii="Arial" w:hAnsi="Arial" w:eastAsia="Arial" w:cs="Arial"/>
        <w:sz w:val="20"/>
        <w:szCs w:val="20"/>
      </w:rPr>
      <w:tblPr/>
      <w:tcPr>
        <w:shd w:val="clear" w:color="auto" w:fill="E5B8B7" w:themeFill="accent2" w:themeFillTint="66"/>
      </w:tcPr>
    </w:tblStylePr>
    <w:tblStylePr w:type="firstCol">
      <w:rPr>
        <w:color w:val="FFFFFF" w:themeColor="background1"/>
        <w:rFonts w:ascii="Arial" w:hAnsi="Arial" w:eastAsia="Arial" w:cs="Arial"/>
        <w:sz w:val="20"/>
        <w:szCs w:val="20"/>
      </w:rPr>
      <w:tblPr/>
      <w:tcPr>
        <w:shd w:val="clear" w:color="auto" w:fill="943634" w:themeFill="accent2" w:themeFillShade="BF"/>
      </w:tcPr>
    </w:tblStylePr>
    <w:tblStylePr w:type="lastCol">
      <w:rPr>
        <w:color w:val="FFFFFF" w:themeColor="background1"/>
        <w:rFonts w:ascii="Arial" w:hAnsi="Arial" w:eastAsia="Arial" w:cs="Arial"/>
        <w:sz w:val="20"/>
        <w:szCs w:val="2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Fonts w:ascii="Arial" w:hAnsi="Arial" w:eastAsia="Arial" w:cs="Arial"/>
        <w:sz w:val="20"/>
        <w:szCs w:val="20"/>
      </w:rPr>
      <w:tblPr/>
      <w:tcPr>
        <w:shd w:val="clear" w:color="auto" w:fill="D6E3BC" w:themeFill="accent3" w:themeFillTint="66"/>
      </w:tcPr>
    </w:tblStylePr>
    <w:tblStylePr w:type="lastRow">
      <w:rPr>
        <w:b/>
        <w:bCs/>
        <w:color w:val="000000" w:themeColor="text1"/>
        <w:rFonts w:ascii="Arial" w:hAnsi="Arial" w:eastAsia="Arial" w:cs="Arial"/>
        <w:sz w:val="20"/>
        <w:szCs w:val="20"/>
      </w:rPr>
      <w:tblPr/>
      <w:tcPr>
        <w:shd w:val="clear" w:color="auto" w:fill="D6E3BC" w:themeFill="accent3" w:themeFillTint="66"/>
      </w:tcPr>
    </w:tblStylePr>
    <w:tblStylePr w:type="firstCol">
      <w:rPr>
        <w:color w:val="FFFFFF" w:themeColor="background1"/>
        <w:rFonts w:ascii="Arial" w:hAnsi="Arial" w:eastAsia="Arial" w:cs="Arial"/>
        <w:sz w:val="20"/>
        <w:szCs w:val="20"/>
      </w:rPr>
      <w:tblPr/>
      <w:tcPr>
        <w:shd w:val="clear" w:color="auto" w:fill="76923C" w:themeFill="accent3" w:themeFillShade="BF"/>
      </w:tcPr>
    </w:tblStylePr>
    <w:tblStylePr w:type="lastCol">
      <w:rPr>
        <w:color w:val="FFFFFF" w:themeColor="background1"/>
        <w:rFonts w:ascii="Arial" w:hAnsi="Arial" w:eastAsia="Arial" w:cs="Arial"/>
        <w:sz w:val="20"/>
        <w:szCs w:val="2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Fonts w:ascii="Arial" w:hAnsi="Arial" w:eastAsia="Arial" w:cs="Arial"/>
        <w:sz w:val="20"/>
        <w:szCs w:val="20"/>
      </w:rPr>
      <w:tblPr/>
      <w:tcPr>
        <w:shd w:val="clear" w:color="auto" w:fill="CCC0D9" w:themeFill="accent4" w:themeFillTint="66"/>
      </w:tcPr>
    </w:tblStylePr>
    <w:tblStylePr w:type="lastRow">
      <w:rPr>
        <w:b/>
        <w:bCs/>
        <w:color w:val="000000" w:themeColor="text1"/>
        <w:rFonts w:ascii="Arial" w:hAnsi="Arial" w:eastAsia="Arial" w:cs="Arial"/>
        <w:sz w:val="20"/>
        <w:szCs w:val="20"/>
      </w:rPr>
      <w:tblPr/>
      <w:tcPr>
        <w:shd w:val="clear" w:color="auto" w:fill="CCC0D9" w:themeFill="accent4" w:themeFillTint="66"/>
      </w:tcPr>
    </w:tblStylePr>
    <w:tblStylePr w:type="firstCol">
      <w:rPr>
        <w:color w:val="FFFFFF" w:themeColor="background1"/>
        <w:rFonts w:ascii="Arial" w:hAnsi="Arial" w:eastAsia="Arial" w:cs="Arial"/>
        <w:sz w:val="20"/>
        <w:szCs w:val="20"/>
      </w:rPr>
      <w:tblPr/>
      <w:tcPr>
        <w:shd w:val="clear" w:color="auto" w:fill="5F497A" w:themeFill="accent4" w:themeFillShade="BF"/>
      </w:tcPr>
    </w:tblStylePr>
    <w:tblStylePr w:type="lastCol">
      <w:rPr>
        <w:color w:val="FFFFFF" w:themeColor="background1"/>
        <w:rFonts w:ascii="Arial" w:hAnsi="Arial" w:eastAsia="Arial" w:cs="Arial"/>
        <w:sz w:val="20"/>
        <w:szCs w:val="2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Fonts w:ascii="Arial" w:hAnsi="Arial" w:eastAsia="Arial" w:cs="Arial"/>
        <w:sz w:val="20"/>
        <w:szCs w:val="20"/>
      </w:rPr>
      <w:tblPr/>
      <w:tcPr>
        <w:shd w:val="clear" w:color="auto" w:fill="B6DDE8" w:themeFill="accent5" w:themeFillTint="66"/>
      </w:tcPr>
    </w:tblStylePr>
    <w:tblStylePr w:type="lastRow">
      <w:rPr>
        <w:b/>
        <w:bCs/>
        <w:color w:val="000000" w:themeColor="text1"/>
        <w:rFonts w:ascii="Arial" w:hAnsi="Arial" w:eastAsia="Arial" w:cs="Arial"/>
        <w:sz w:val="20"/>
        <w:szCs w:val="20"/>
      </w:rPr>
      <w:tblPr/>
      <w:tcPr>
        <w:shd w:val="clear" w:color="auto" w:fill="B6DDE8" w:themeFill="accent5" w:themeFillTint="66"/>
      </w:tcPr>
    </w:tblStylePr>
    <w:tblStylePr w:type="firstCol">
      <w:rPr>
        <w:color w:val="FFFFFF" w:themeColor="background1"/>
        <w:rFonts w:ascii="Arial" w:hAnsi="Arial" w:eastAsia="Arial" w:cs="Arial"/>
        <w:sz w:val="20"/>
        <w:szCs w:val="20"/>
      </w:rPr>
      <w:tblPr/>
      <w:tcPr>
        <w:shd w:val="clear" w:color="auto" w:fill="31849B" w:themeFill="accent5" w:themeFillShade="BF"/>
      </w:tcPr>
    </w:tblStylePr>
    <w:tblStylePr w:type="lastCol">
      <w:rPr>
        <w:color w:val="FFFFFF" w:themeColor="background1"/>
        <w:rFonts w:ascii="Arial" w:hAnsi="Arial" w:eastAsia="Arial" w:cs="Arial"/>
        <w:sz w:val="20"/>
        <w:szCs w:val="2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Fonts w:ascii="Arial" w:hAnsi="Arial" w:eastAsia="Arial" w:cs="Arial"/>
        <w:sz w:val="20"/>
        <w:szCs w:val="20"/>
      </w:rPr>
      <w:tblPr/>
      <w:tcPr>
        <w:shd w:val="clear" w:color="auto" w:fill="FBD4B4" w:themeFill="accent6" w:themeFillTint="66"/>
      </w:tcPr>
    </w:tblStylePr>
    <w:tblStylePr w:type="lastRow">
      <w:rPr>
        <w:b/>
        <w:bCs/>
        <w:color w:val="000000" w:themeColor="text1"/>
        <w:rFonts w:ascii="Arial" w:hAnsi="Arial" w:eastAsia="Arial" w:cs="Arial"/>
        <w:sz w:val="20"/>
        <w:szCs w:val="20"/>
      </w:rPr>
      <w:tblPr/>
      <w:tcPr>
        <w:shd w:val="clear" w:color="auto" w:fill="FBD4B4" w:themeFill="accent6" w:themeFillTint="66"/>
      </w:tcPr>
    </w:tblStylePr>
    <w:tblStylePr w:type="firstCol">
      <w:rPr>
        <w:color w:val="FFFFFF" w:themeColor="background1"/>
        <w:rFonts w:ascii="Arial" w:hAnsi="Arial" w:eastAsia="Arial" w:cs="Arial"/>
        <w:sz w:val="20"/>
        <w:szCs w:val="20"/>
      </w:rPr>
      <w:tblPr/>
      <w:tcPr>
        <w:shd w:val="clear" w:color="auto" w:fill="E36C0A" w:themeFill="accent6" w:themeFillShade="BF"/>
      </w:tcPr>
    </w:tblStylePr>
    <w:tblStylePr w:type="lastCol">
      <w:rPr>
        <w:color w:val="FFFFFF" w:themeColor="background1"/>
        <w:rFonts w:ascii="Arial" w:hAnsi="Arial" w:eastAsia="Arial" w:cs="Arial"/>
        <w:sz w:val="20"/>
        <w:szCs w:val="2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FootnoteReference">
    <w:name w:val="footnote reference"/>
    <w:uiPriority w:val="99"/>
    <w:unhideWhenUsed/>
    <w:rsid w:val="008F64FC"/>
    <w:rPr>
      <w:vertAlign w:val="superscript"/>
      <w:rFonts w:ascii="Arial" w:hAnsi="Arial" w:eastAsia="Arial" w:cs="Arial"/>
      <w:sz w:val="20"/>
      <w:szCs w:val="20"/>
    </w:rPr>
  </w:style>
  <w:style w:type="paragraph" w:styleId="FootnoteText">
    <w:name w:val="footnote text"/>
    <w:basedOn w:val="Normal"/>
    <w:link w:val="FootnoteTextChar"/>
    <w:uiPriority w:val="99"/>
    <w:unhideWhenUsed/>
    <w:rsid w:val="008F64FC"/>
    <w:pPr>
      <w:spacing w:after="200" w:line="276" w:lineRule="auto"/>
    </w:pPr>
    <w:rPr>
      <w:rFonts w:ascii="Arial" w:hAnsi="Arial" w:eastAsia="Arial" w:cs="Arial"/>
      <w:color w:val="auto"/>
      <w:sz w:val="20"/>
      <w:szCs w:val="20"/>
      <w:lang w:val="en-NA" w:eastAsia="en-GB"/>
    </w:rPr>
  </w:style>
  <w:style w:type="character" w:customStyle="1" w:styleId="FootnoteTextChar">
    <w:name w:val="Footnote Text Char"/>
    <w:basedOn w:val="DefaultParagraphFont"/>
    <w:link w:val="FootnoteText"/>
    <w:uiPriority w:val="99"/>
    <w:rsid w:val="008F64FC"/>
    <w:rPr>
      <w:rFonts w:ascii="Arial" w:hAnsi="Arial" w:eastAsia="Arial" w:cs="Arial"/>
      <w:sz w:val="20"/>
      <w:szCs w:val="20"/>
      <w:lang w:val="en-NA" w:eastAsia="en-GB"/>
    </w:rPr>
  </w:style>
  <w:style w:type="paragraph" w:customStyle="1" w:styleId="Default">
    <w:name w:val="Default"/>
    <w:rsid w:val="008F64FC"/>
    <w:pPr>
      <w:autoSpaceDE w:val="0"/>
      <w:autoSpaceDN w:val="0"/>
      <w:adjustRightInd w:val="0"/>
      <w:spacing w:after="0" w:line="240" w:lineRule="auto"/>
    </w:pPr>
    <w:rPr>
      <w:rFonts w:ascii="Arial" w:hAnsi="Arial" w:eastAsia="Arial" w:cs="Arial"/>
      <w:color w:val="000000"/>
      <w:sz w:val="20"/>
      <w:szCs w:val="20"/>
      <w:lang w:val="en-NA"/>
    </w:rPr>
  </w:style>
  <w:style w:type="paragraph" w:customStyle="1" w:styleId="BodyA">
    <w:name w:val="Body A"/>
    <w:rsid w:val="00885E26"/>
    <w:pPr>
      <w:spacing w:after="100"/>
    </w:pPr>
    <w:rPr>
      <w:rFonts w:ascii="Arial" w:hAnsi="Arial" w:eastAsia="Arial" w:cs="Arial"/>
      <w:color w:val="000000"/>
      <w:sz w:val="20"/>
      <w:szCs w:val="20"/>
      <w:u w:color="000000"/>
    </w:rPr>
  </w:style>
  <w:style w:type="character" w:customStyle="1" w:styleId="None">
    <w:rPr>
      <w:rFonts w:ascii="Arial" w:hAnsi="Arial" w:eastAsia="Arial" w:cs="Arial"/>
      <w:sz w:val="20"/>
      <w:szCs w:val="20"/>
    </w:rPr>
    <w:name w:val="None"/>
    <w:rsid w:val="00885E26"/>
  </w:style>
  <w:style w:type="paragraph" w:customStyle="1" w:styleId="p1">
    <w:name w:val="p1"/>
    <w:basedOn w:val="Normal"/>
    <w:rsid w:val="00885E26"/>
    <w:pPr>
      <w:spacing w:after="0" w:line="240" w:lineRule="auto"/>
    </w:pPr>
    <w:rPr>
      <w:rFonts w:ascii="Arial" w:hAnsi="Arial" w:eastAsia="Arial" w:cs="Arial"/>
      <w:sz w:val="20"/>
      <w:szCs w:val="20"/>
      <w:lang w:val="en-N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hamberofmines.org.na/wp-content/uploads/2024/04/2023-Chamber-of-Mines-Annual-Review.-Final-Web.pdf" TargetMode="External"/><Relationship Id="rId21" Type="http://schemas.openxmlformats.org/officeDocument/2006/relationships/hyperlink" Target="https://unesdoc.unesco.org/ark:/48223/pf0000265552" TargetMode="External"/><Relationship Id="rId34" Type="http://schemas.openxmlformats.org/officeDocument/2006/relationships/hyperlink" Target="https://www.metso.com/globalassets/insights/ebooks/mo-basics-in-mineral-processing-handbook_lowres.pdf" TargetMode="External"/><Relationship Id="rId42" Type="http://schemas.openxmlformats.org/officeDocument/2006/relationships/hyperlink" Target="https://doi.org/10.3390/min11050533" TargetMode="External"/><Relationship Id="rId47" Type="http://schemas.openxmlformats.org/officeDocument/2006/relationships/hyperlink" Target="https://smemi.personifycloud.com/PersonifyEbusiness/Store/SME-Mineral-Processing--Extractive-Metallurgy-Handbook/ProductDetail/2829543" TargetMode="External"/><Relationship Id="rId50" Type="http://schemas.openxmlformats.org/officeDocument/2006/relationships/hyperlink" Target="https://www.iso.org/standard/83054.html" TargetMode="External"/><Relationship Id="rId55" Type="http://schemas.openxmlformats.org/officeDocument/2006/relationships/hyperlink" Target="https://doi.org/10.3390/min11050533" TargetMode="External"/><Relationship Id="rId63" Type="http://schemas.openxmlformats.org/officeDocument/2006/relationships/hyperlink" Target="https://www.mme.gov.na/files/publications/534_MIME%20SP%202025_26%20-%202029_30.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ooks.libreoffice.org/en/GS248/GS24800-Preface.html" TargetMode="External"/><Relationship Id="rId29" Type="http://schemas.openxmlformats.org/officeDocument/2006/relationships/hyperlink" Target="https://chamberofmines.org.na/wp-content/uploads/2024/04/2023-Chamber-of-Mines-Annual-Review.-Final-Web.pdf" TargetMode="External"/><Relationship Id="rId11" Type="http://schemas.openxmlformats.org/officeDocument/2006/relationships/hyperlink" Target="https://www.vanschaiknet.com/wp-content/uploads/2024/04/DIGITAL-CATALOGUE-2023.pdf" TargetMode="External"/><Relationship Id="rId24" Type="http://schemas.openxmlformats.org/officeDocument/2006/relationships/hyperlink" Target="https://the-eis.com/elibrary/sites/default/files/downloads/literature/Best%20Practice%20Guide%20in%20Mining%20Part%204_Mining%20and%20Processing%20Operations_2019.pdf" TargetMode="External"/><Relationship Id="rId32" Type="http://schemas.openxmlformats.org/officeDocument/2006/relationships/hyperlink" Target="https://hub.icmm.com/website/publications/pdfs/environmental-stewardship/2021/guidance_tailings-management.pdf" TargetMode="External"/><Relationship Id="rId37" Type="http://schemas.openxmlformats.org/officeDocument/2006/relationships/hyperlink" Target="https://the-eis.com/elibrary/sites/default/files/downloads/literature/Best%20Practice%20Guide%20in%20Mining%20Part%204_Mining%20and%20Processing%20Operations_2019.pdf" TargetMode="External"/><Relationship Id="rId40" Type="http://schemas.openxmlformats.org/officeDocument/2006/relationships/hyperlink" Target="https://www.metso.com/globalassets/insights/ebooks/mo-basics-in-mineral-processing-handbook_lowres.pdf" TargetMode="External"/><Relationship Id="rId45" Type="http://schemas.openxmlformats.org/officeDocument/2006/relationships/hyperlink" Target="https://hub.icmm.com/website/publications/pdfs/environmental-stewardship/2021/guidance_tailings-management.pdf" TargetMode="External"/><Relationship Id="rId53" Type="http://schemas.openxmlformats.org/officeDocument/2006/relationships/hyperlink" Target="https://smemi.personifycloud.com/PersonifyEbusiness/Store/SME-Mineral-Processing--Extractive-Metallurgy-Handbook/ProductDetail/2829543" TargetMode="External"/><Relationship Id="rId58" Type="http://schemas.openxmlformats.org/officeDocument/2006/relationships/hyperlink" Target="https://regqs.saqa.org.za/viewQualification.php?id=124365"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npc.gov.na/wp-content/uploads/2025/07/NDP6-Booklet.pdf" TargetMode="External"/><Relationship Id="rId19" Type="http://schemas.openxmlformats.org/officeDocument/2006/relationships/hyperlink" Target="https://www.mict.gov.na/documents/869282/1009163/National%2BCyberSecurity%2BStrategy%2Band%2B%2BAwareness%2BRaising%2BPlan%2B2022%2B-%2B2027%2B%2B13%2B10%2B22.pdf/ea059f22-173f-ad8f-47a3-eb29cd0a0ee1" TargetMode="External"/><Relationship Id="rId14" Type="http://schemas.openxmlformats.org/officeDocument/2006/relationships/hyperlink" Target="https://unesdoc.unesco.org/ark:/48223/pf0000265552" TargetMode="External"/><Relationship Id="rId22" Type="http://schemas.openxmlformats.org/officeDocument/2006/relationships/hyperlink" Target="https://www.metso.com/globalassets/insights/ebooks/mo-basics-in-mineral-processing-handbook_lowres.pdf" TargetMode="External"/><Relationship Id="rId27" Type="http://schemas.openxmlformats.org/officeDocument/2006/relationships/hyperlink" Target="https://www.ilo.org/resource/other/code-practice-safety-and-health-opencast-mines" TargetMode="External"/><Relationship Id="rId30" Type="http://schemas.openxmlformats.org/officeDocument/2006/relationships/hyperlink" Target="https://stacks.cdc.gov/view/cdc/76769" TargetMode="External"/><Relationship Id="rId35" Type="http://schemas.openxmlformats.org/officeDocument/2006/relationships/hyperlink" Target="https://smemi.personifycloud.com/PersonifyEbusiness/Store/SME-Mineral-Processing--Extractive-Metallurgy-Handbook/ProductDetail/2829543" TargetMode="External"/><Relationship Id="rId43" Type="http://schemas.openxmlformats.org/officeDocument/2006/relationships/hyperlink" Target="https://the-eis.com/elibrary/sites/default/files/downloads/literature/Best%20Practice%20Guide%20in%20Mining%20Part%204_Mining%20and%20Processing%20Operations_2019.pdf" TargetMode="External"/><Relationship Id="rId48" Type="http://schemas.openxmlformats.org/officeDocument/2006/relationships/hyperlink" Target="https://the-eis.com/elibrary/sites/default/files/downloads/literature/Best%20Practice%20Guide%20in%20Mining%20Part%204_Mining%20and%20Processing%20Operations_2019.pdf" TargetMode="External"/><Relationship Id="rId56" Type="http://schemas.openxmlformats.org/officeDocument/2006/relationships/hyperlink" Target="https://chamberofmines.org.na/wp-content/uploads/2024/04/2023-Chamber-of-Mines-Annual-Review.-Final-Web.pdf" TargetMode="External"/><Relationship Id="rId64" Type="http://schemas.openxmlformats.org/officeDocument/2006/relationships/hyperlink" Target="https://meft.gov.na/files/downloads/749_Enivronmental%20Management%20Act%202007.pdf" TargetMode="External"/><Relationship Id="rId8" Type="http://schemas.openxmlformats.org/officeDocument/2006/relationships/image" Target="media/image1.jpg"/><Relationship Id="rId51" Type="http://schemas.openxmlformats.org/officeDocument/2006/relationships/hyperlink" Target="https://stacks.cdc.gov/view/cdc/76769" TargetMode="External"/><Relationship Id="rId3" Type="http://schemas.openxmlformats.org/officeDocument/2006/relationships/styles" Target="styles.xml"/><Relationship Id="rId12" Type="http://schemas.openxmlformats.org/officeDocument/2006/relationships/hyperlink" Target="https://openlibrary-repo.ecampusontario.ca/jspui/bitstream/123456789/557/15/Communication-at-Work-1550774380._print.pdf" TargetMode="External"/><Relationship Id="rId17" Type="http://schemas.openxmlformats.org/officeDocument/2006/relationships/hyperlink" Target="https://www.unesco.org/en/articles/ai-competency-framework-students" TargetMode="External"/><Relationship Id="rId25" Type="http://schemas.openxmlformats.org/officeDocument/2006/relationships/hyperlink" Target="https://doi.org/10.3390/min11050533" TargetMode="External"/><Relationship Id="rId33" Type="http://schemas.openxmlformats.org/officeDocument/2006/relationships/hyperlink" Target="https://www.metso.com/globalassets/insights/ebooks/mo-basics-in-mineral-processing-handbook_lowres.pdf" TargetMode="External"/><Relationship Id="rId38" Type="http://schemas.openxmlformats.org/officeDocument/2006/relationships/hyperlink" Target="https://mdpi-res.com/bookfiles/book/4263/Comminution_in_the_Minerals_Industry.pdf?v=1737857030" TargetMode="External"/><Relationship Id="rId46" Type="http://schemas.openxmlformats.org/officeDocument/2006/relationships/hyperlink" Target="https://www.metso.com/globalassets/insights/ebooks/mo-basics-in-mineral-processing-handbook_lowres.pdf" TargetMode="External"/><Relationship Id="rId59" Type="http://schemas.openxmlformats.org/officeDocument/2006/relationships/hyperlink" Target="https://www.oranjemund-tc.com/page/about-us/" TargetMode="External"/><Relationship Id="rId20" Type="http://schemas.openxmlformats.org/officeDocument/2006/relationships/hyperlink" Target="https://www.gov.za/sites/default/files/gcis_document/202009/43730gen513.pdf" TargetMode="External"/><Relationship Id="rId41" Type="http://schemas.openxmlformats.org/officeDocument/2006/relationships/hyperlink" Target="https://smemi.personifycloud.com/PersonifyEbusiness/Store/SME-Mineral-Processing--Extractive-Metallurgy-Handbook/ProductDetail/2829543" TargetMode="External"/><Relationship Id="rId54" Type="http://schemas.openxmlformats.org/officeDocument/2006/relationships/hyperlink" Target="https://the-eis.com/elibrary/sites/default/files/downloads/literature/Best%20Practice%20Guide%20in%20Mining%20Part%204_Mining%20and%20Processing%20Operations_2019.pdf" TargetMode="External"/><Relationship Id="rId62" Type="http://schemas.openxmlformats.org/officeDocument/2006/relationships/hyperlink" Target="https://op.gov.na/documents/1697384/6465069/NDP6-Policy-Document.pdf/c4046436-f16c-ba9e-33d6-3263485e3522?t=175318978146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cielo.org.za/scielo.php?pid=S2957-79502025000300002&amp;script=sci_arttext" TargetMode="External"/><Relationship Id="rId23" Type="http://schemas.openxmlformats.org/officeDocument/2006/relationships/hyperlink" Target="https://smemi.personifycloud.com/PersonifyEbusiness/Store/SME-Mineral-Processing--Extractive-Metallurgy-Handbook/ProductDetail/2829543" TargetMode="External"/><Relationship Id="rId28" Type="http://schemas.openxmlformats.org/officeDocument/2006/relationships/hyperlink" Target="https://the-eis.com/elibrary/sites/default/files/downloads/literature/Best%20Practice%20Guide%20in%20Mining%20Part%204_Mining%20and%20Processing%20Operations_2019.pdf" TargetMode="External"/><Relationship Id="rId36" Type="http://schemas.openxmlformats.org/officeDocument/2006/relationships/hyperlink" Target="https://doi.org/10.3390/min11050533" TargetMode="External"/><Relationship Id="rId49" Type="http://schemas.openxmlformats.org/officeDocument/2006/relationships/hyperlink" Target="https://chamberofmines.org.na/wp-content/uploads/2024/04/2023-Chamber-of-Mines-Annual-Review.-Final-Web.pdf" TargetMode="External"/><Relationship Id="rId57" Type="http://schemas.openxmlformats.org/officeDocument/2006/relationships/hyperlink" Target="https://www.ilo.org/resource/other/code-practice-safety-and-health-opencast-mines" TargetMode="External"/><Relationship Id="rId10" Type="http://schemas.openxmlformats.org/officeDocument/2006/relationships/hyperlink" Target="https://www.vanschaiknet.com/catalogue/communicating-work/" TargetMode="External"/><Relationship Id="rId31" Type="http://schemas.openxmlformats.org/officeDocument/2006/relationships/hyperlink" Target="https://www.ilo.org/resource/other/code-practice-safety-and-health-opencast-mines" TargetMode="External"/><Relationship Id="rId44" Type="http://schemas.openxmlformats.org/officeDocument/2006/relationships/hyperlink" Target="https://chamberofmines.org.na/wp-content/uploads/2024/04/2023-Chamber-of-Mines-Annual-Review.-Final-Web.pdf" TargetMode="External"/><Relationship Id="rId52" Type="http://schemas.openxmlformats.org/officeDocument/2006/relationships/hyperlink" Target="https://www.metso.com/globalassets/insights/ebooks/mo-basics-in-mineral-processing-handbook_lowres.pdf" TargetMode="External"/><Relationship Id="rId60" Type="http://schemas.openxmlformats.org/officeDocument/2006/relationships/hyperlink" Target="https://www.npc.gov.na/wp-content/uploads/2021/11/vision_2030.pdf"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openstax.org/books/writing-guide/pages/1-unit-introduction" TargetMode="External"/><Relationship Id="rId18" Type="http://schemas.openxmlformats.org/officeDocument/2006/relationships/hyperlink" Target="https://www.unesco.org/en/articles/guidance-generative-ai-education-and-research" TargetMode="External"/><Relationship Id="rId39" Type="http://schemas.openxmlformats.org/officeDocument/2006/relationships/hyperlink" Target="https://stacks.cdc.gov/view/cdc/76769" TargetMode="External"/><Relationship Id="rId67" Type="http://schemas.openxmlformats.org/officeDocument/2006/relationships/hyperlink" Target="https://eia.met.gov.na/web/upload/EA.pdf" TargetMode="External"/><Relationship Id="rId68" Type="http://schemas.openxmlformats.org/officeDocument/2006/relationships/hyperlink" Target="https://www.eia.met.gov.na/" TargetMode="External"/><Relationship Id="rId69" Type="http://schemas.openxmlformats.org/officeDocument/2006/relationships/hyperlink" Target="https://www.ifc.org/content/dam/ifc/doc/2000/2007-mining-ehs-guidelines-en.pdf" TargetMode="External"/><Relationship Id="rId70" Type="http://schemas.openxmlformats.org/officeDocument/2006/relationships/hyperlink" Target="https://the-eis.com/elibrary/sites/default/files/downloads/literature/Best%20Practice%20Guide%20in%20Mining%20Part%205_Care%20and%20Maintenance_Closure%20and%20Completion_2019.pdf" TargetMode="External"/><Relationship Id="rId71" Type="http://schemas.openxmlformats.org/officeDocument/2006/relationships/hyperlink" Target="https://www.fynboscorridors.org/media/files/Holmes_et_al_SF_2022_Restoration_Guidelines.pdf" TargetMode="External"/><Relationship Id="rId72" Type="http://schemas.openxmlformats.org/officeDocument/2006/relationships/hyperlink" Target="https://hub.icmm.com/website/publications/pdfs/environmental-stewardship/2019/guidance_integrated-mine-closure.pdf" TargetMode="External"/><Relationship Id="rId73" Type="http://schemas.openxmlformats.org/officeDocument/2006/relationships/hyperlink" Target="https://www.angloamerican.com/~/media/Files/A/Anglo-American-Group/PLC/sustainability/mine-closure-toolbox-examples-version-3-2019.pdf" TargetMode="External"/><Relationship Id="rId74" Type="http://schemas.openxmlformats.org/officeDocument/2006/relationships/hyperlink" Target="https://openknowledge.fao.org/handle/20.500.14283/i6874en" TargetMode="External"/><Relationship Id="rId7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22</Pages>
  <Words>5479</Words>
  <Characters>31232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Certificate in Mineral Processing Operations Level 4 Qualification Structure</vt:lpstr>
    </vt:vector>
  </TitlesOfParts>
  <Manager/>
  <Company/>
  <LinksUpToDate>false</LinksUpToDate>
  <CharactersWithSpaces>36638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Qualification Structure - Diploma in Mine Environmental Management (Level 5)</dc:title>
  <dc:subject>Proposed qualification structure; not evidence of regulatory approval</dc:subject>
  <dc:creator>Oranjemund College</dc:creator>
  <cp:keywords>proposed; academic and industry validation; 80 credits; eight modules</cp:keywords>
  <dc:description>generated by python-docx</dc:description>
  <cp:lastModifiedBy>Oranjemund College</cp:lastModifiedBy>
  <cp:revision>19</cp:revision>
  <dcterms:created xsi:type="dcterms:W3CDTF">2013-12-23T23:15:00Z</dcterms:created>
  <dcterms:modified xsi:type="dcterms:W3CDTF">2026-10-28T21:56:00Z</dcterms:modified>
  <cp:category/>
</cp:coreProperties>
</file>