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spacing w:before="0" w:after="120"/>
        <w:jc w:val="center"/>
        <w:rPr>
          <w:rFonts w:ascii="Arial" w:hAnsi="Arial" w:eastAsia="Arial" w:cs="Arial"/>
          <w:sz w:val="20"/>
          <w:szCs w:val="20"/>
        </w:rPr>
      </w:pPr>
      <w:r w:rsidRPr="008B6C93">
        <w:rPr>
          <w:rFonts w:ascii="Arial" w:hAnsi="Arial" w:eastAsia="Arial" w:cs="Arial"/>
          <w:noProof/>
          <w:sz w:val="20"/>
          <w:szCs w:val="20"/>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spacing w:before="0" w:after="120"/>
        <w:jc w:val="center"/>
        <w:rPr>
          <w:rFonts w:ascii="Arial" w:hAnsi="Arial" w:eastAsia="Arial" w:cs="Arial"/>
          <w:b w:val="0"/>
          <w:sz w:val="20"/>
          <w:szCs w:val="20"/>
        </w:rPr>
      </w:pPr>
      <w:r w:rsidRPr="008B6C93">
        <w:rPr>
          <w:rFonts w:ascii="Arial" w:hAnsi="Arial" w:eastAsia="Arial" w:cs="Arial"/>
          <w:b w:val="0"/>
          <w:sz w:val="20"/>
          <w:szCs w:val="20"/>
        </w:rPr>
        <w:t>Oranjemund College</w:t>
      </w:r>
    </w:p>
    <w:p w14:paraId="6805B60F" w14:textId="63BDF884" w:rsidR="008F64FC" w:rsidRPr="008B6C93" w:rsidRDefault="008F64FC" w:rsidP="008F64FC">
      <w:pPr>
        <w:spacing w:before="0" w:after="120"/>
        <w:jc w:val="center"/>
        <w:rPr>
          <w:rFonts w:ascii="Arial" w:hAnsi="Arial" w:eastAsia="Arial" w:cs="Arial"/>
          <w:sz w:val="20"/>
          <w:szCs w:val="20"/>
        </w:rPr>
      </w:pPr>
      <w:r>
        <w:rPr>
          <w:rFonts w:ascii="Arial" w:hAnsi="Arial" w:eastAsia="Arial" w:cs="Arial"/>
          <w:sz w:val="20"/>
          <w:szCs w:val="20"/>
        </w:rPr>
        <w:t>Diploma in Mine Rehabilitation and Closure (Level 5)</w:t>
      </w:r>
    </w:p>
    <w:p w14:paraId="0DB2D636" w14:textId="77777777" w:rsidR="00C65B51" w:rsidRPr="008B6C93" w:rsidRDefault="00000000">
      <w:pPr>
        <w:pStyle w:val="Subtitle"/>
        <w:spacing w:before="0" w:after="120"/>
        <w:jc w:val="center"/>
        <w:rPr>
          <w:rFonts w:ascii="Arial" w:hAnsi="Arial" w:eastAsia="Arial" w:cs="Arial"/>
          <w:sz w:val="20"/>
          <w:szCs w:val="20"/>
        </w:rPr>
      </w:pPr>
      <w:r w:rsidRPr="008B6C93">
        <w:rPr>
          <w:rFonts w:ascii="Arial" w:hAnsi="Arial" w:eastAsia="Arial" w:cs="Arial"/>
          <w:sz w:val="20"/>
          <w:szCs w:val="20"/>
        </w:rPr>
        <w:t>Qualification Structure</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2694"/>
        <w:gridCol w:w="2948"/>
      </w:tblGrid>
      <w:tr w:rsidR="008F64FC" w:rsidRPr="008B6C93" w14:paraId="1038B9DF" w14:textId="77777777" w:rsidTr="00373D14">
        <w:trPr/>
        <w:tc>
          <w:tcPr>
            <w:tcW w:w="9781" w:type="dxa"/>
            <w:gridSpan w:val="3"/>
            <w:tcBorders>
              <w:top w:val="single" w:sz="4" w:space="0" w:color="501549"/>
              <w:left w:val="single" w:sz="4" w:space="0" w:color="501549"/>
              <w:bottom w:val="single" w:sz="4" w:space="0" w:color="501549"/>
              <w:right w:val="single" w:sz="4" w:space="0" w:color="501549"/>
            </w:tcBorders>
            <w:vAlign w:val="top"/>
          </w:tcPr>
          <w:p>
            <w:pPr>
              <w:spacing w:before="40" w:after="40" w:line="240" w:lineRule="auto"/>
              <w:jc w:val="left"/>
            </w:pPr>
            <w:r>
              <w:rPr>
                <w:rFonts w:ascii="Arial" w:hAnsi="Arial" w:eastAsia="Arial" w:cs="Arial"/>
                <w:b w:val="0"/>
                <w:sz w:val="20"/>
                <w:szCs w:val="20"/>
              </w:rPr>
              <w:t>Diploma in Mine Rehabilitation and Closure (Level 5)</w:t>
            </w:r>
          </w:p>
        </w:tc>
      </w:tr>
      <w:tr w:rsidR="008F64FC" w:rsidRPr="008B6C93" w14:paraId="372686C7" w14:textId="77777777" w:rsidTr="00373D14">
        <w:trPr/>
        <w:tc>
          <w:tcPr>
            <w:tcW w:w="4139" w:type="dxa"/>
            <w:tcBorders>
              <w:top w:val="single" w:sz="4" w:space="0" w:color="501549"/>
              <w:left w:val="nil"/>
              <w:bottom w:val="nil"/>
              <w:right w:val="nil"/>
            </w:tcBorders>
            <w:vAlign w:val="top"/>
          </w:tcPr>
          <w:p w14:paraId="6B3F5FE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694" w:type="dxa"/>
            <w:tcBorders>
              <w:top w:val="single" w:sz="4" w:space="0" w:color="501549"/>
              <w:left w:val="nil"/>
              <w:bottom w:val="nil"/>
              <w:right w:val="nil"/>
            </w:tcBorders>
            <w:vAlign w:val="top"/>
          </w:tcPr>
          <w:p w14:paraId="794FDE9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948" w:type="dxa"/>
            <w:tcBorders>
              <w:top w:val="single" w:sz="4" w:space="0" w:color="501549"/>
              <w:left w:val="nil"/>
              <w:bottom w:val="nil"/>
              <w:right w:val="nil"/>
            </w:tcBorders>
            <w:vAlign w:val="top"/>
          </w:tcPr>
          <w:p w14:paraId="081C0CDF"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r>
      <w:tr w:rsidR="008F64FC" w:rsidRPr="008B6C93" w14:paraId="6789A94B" w14:textId="77777777" w:rsidTr="00373D14">
        <w:trPr/>
        <w:tc>
          <w:tcPr>
            <w:tcW w:w="4139" w:type="dxa"/>
            <w:tcBorders>
              <w:top w:val="nil"/>
              <w:left w:val="nil"/>
              <w:bottom w:val="nil"/>
              <w:right w:val="nil"/>
            </w:tcBorders>
            <w:vAlign w:val="top"/>
          </w:tcPr>
          <w:p w14:paraId="5C0D49DF"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Field:</w:t>
            </w:r>
            <w:r w:rsidRPr="008B6C93">
              <w:rPr>
                <w:rStyle w:val="FootnoteReference"/>
                <w:rFonts w:ascii="Arial" w:hAnsi="Arial" w:eastAsia="Arial" w:cs="Arial"/>
                <w:sz w:val="20"/>
                <w:szCs w:val="20"/>
              </w:rPr>
              <w:footnoteReference w:id="1"/>
            </w:r>
            <w:r w:rsidRPr="008B6C93">
              <w:rPr>
                <w:rFonts w:ascii="Arial" w:hAnsi="Arial" w:eastAsia="Arial" w:cs="Arial"/>
                <w:sz w:val="20"/>
                <w:szCs w:val="20"/>
              </w:rPr>
              <w:t xml:space="preserve"> </w:t>
            </w:r>
            <w:r w:rsidRPr="008B6C93">
              <w:rPr>
                <w:rFonts w:ascii="Arial" w:hAnsi="Arial" w:eastAsia="Arial" w:cs="Arial"/>
                <w:sz w:val="20"/>
                <w:szCs w:val="20"/>
              </w:rPr>
              <w:tab/>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Agriculture and Nature Conservation</w:t>
            </w:r>
          </w:p>
        </w:tc>
      </w:tr>
      <w:tr w:rsidR="008F64FC" w:rsidRPr="008B6C93" w14:paraId="196F940D" w14:textId="77777777" w:rsidTr="00373D14">
        <w:trPr/>
        <w:tc>
          <w:tcPr>
            <w:tcW w:w="4139" w:type="dxa"/>
            <w:tcBorders>
              <w:top w:val="nil"/>
              <w:left w:val="nil"/>
              <w:bottom w:val="nil"/>
              <w:right w:val="nil"/>
            </w:tcBorders>
            <w:vAlign w:val="top"/>
          </w:tcPr>
          <w:p w14:paraId="27309244"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Qualification Code:</w:t>
            </w:r>
            <w:r w:rsidRPr="008B6C93">
              <w:rPr>
                <w:rStyle w:val="FootnoteReference"/>
                <w:rFonts w:ascii="Arial" w:hAnsi="Arial" w:eastAsia="Arial" w:cs="Arial"/>
                <w:sz w:val="20"/>
                <w:szCs w:val="20"/>
              </w:rPr>
              <w:footnoteReference w:id="2"/>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OCOL-5024</w:t>
            </w:r>
          </w:p>
        </w:tc>
        <w:tc>
          <w:tcPr>
            <w:tcW w:w="2948" w:type="dxa"/>
            <w:tcBorders>
              <w:top w:val="nil"/>
              <w:left w:val="nil"/>
              <w:bottom w:val="nil"/>
              <w:right w:val="nil"/>
            </w:tcBorders>
            <w:vAlign w:val="top"/>
          </w:tcPr>
          <w:p w14:paraId="6A56A7C8"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0A0C7629" w14:textId="77777777" w:rsidTr="00373D14">
        <w:trPr/>
        <w:tc>
          <w:tcPr>
            <w:tcW w:w="4139" w:type="dxa"/>
            <w:tcBorders>
              <w:top w:val="nil"/>
              <w:left w:val="nil"/>
              <w:bottom w:val="nil"/>
              <w:right w:val="nil"/>
            </w:tcBorders>
            <w:vAlign w:val="top"/>
          </w:tcPr>
          <w:p w14:paraId="7E59DD18" w14:textId="6EFE09AC"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NQF registration ID:</w:t>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Not yet assigned</w:t>
            </w:r>
          </w:p>
        </w:tc>
        <w:tc>
          <w:tcPr>
            <w:tcW w:w="2948" w:type="dxa"/>
            <w:tcBorders>
              <w:top w:val="nil"/>
              <w:left w:val="nil"/>
              <w:bottom w:val="nil"/>
              <w:right w:val="nil"/>
            </w:tcBorders>
            <w:vAlign w:val="top"/>
          </w:tcPr>
          <w:p w14:paraId="53B60C8E"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7AB93721" w14:textId="77777777" w:rsidTr="00373D14">
        <w:trPr/>
        <w:tc>
          <w:tcPr>
            <w:tcW w:w="4139" w:type="dxa"/>
            <w:tcBorders>
              <w:top w:val="nil"/>
              <w:left w:val="nil"/>
              <w:bottom w:val="nil"/>
              <w:right w:val="nil"/>
            </w:tcBorders>
            <w:vAlign w:val="top"/>
          </w:tcPr>
          <w:p w14:paraId="1673DA21" w14:textId="554FBF3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Duration and delivery</w:t>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Full-time: one academic year, two semesters. Part-time: extended calendar with the same 120 credits and 1,200 notional hours. Full-time, part-time or blended delivery. Online teaching may support suitable learning; assessed practical and simulation activities remain supervised.</w:t>
            </w:r>
          </w:p>
        </w:tc>
      </w:tr>
      <w:tr w:rsidR="008F64FC" w:rsidRPr="008B6C93" w14:paraId="0125F763" w14:textId="77777777" w:rsidTr="00373D14">
        <w:trPr/>
        <w:tc>
          <w:tcPr>
            <w:tcW w:w="4139" w:type="dxa"/>
            <w:tcBorders>
              <w:top w:val="nil"/>
              <w:left w:val="nil"/>
              <w:bottom w:val="nil"/>
              <w:right w:val="nil"/>
            </w:tcBorders>
            <w:vAlign w:val="top"/>
          </w:tcPr>
          <w:p w14:paraId="2E84EDDE" w14:textId="3BB5368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Campus</w:t>
            </w:r>
          </w:p>
        </w:tc>
        <w:tc>
          <w:tcPr>
            <w:tcW w:w="5642" w:type="dxa"/>
            <w:gridSpan w:val="2"/>
            <w:tcBorders>
              <w:top w:val="nil"/>
              <w:left w:val="nil"/>
              <w:bottom w:val="nil"/>
              <w:right w:val="nil"/>
            </w:tcBorders>
            <w:vAlign w:val="top"/>
          </w:tcPr>
          <w:p w14:paraId="4C58AE5D" w14:textId="59348FDF" w:rsidR="008F64FC" w:rsidRPr="008B6C93" w:rsidRDefault="008F64FC" w:rsidP="00091C17">
            <w:pPr>
              <w:spacing w:before="40" w:after="40" w:line="240" w:lineRule="auto"/>
              <w:jc w:val="both"/>
              <w:rPr>
                <w:rFonts w:ascii="Arial" w:hAnsi="Arial" w:eastAsia="Arial" w:cs="Arial"/>
                <w:sz w:val="20"/>
                <w:szCs w:val="20"/>
              </w:rPr>
            </w:pPr>
            <w:r w:rsidRPr="008B6C93">
              <w:rPr>
                <w:rFonts w:ascii="Arial" w:hAnsi="Arial" w:eastAsia="Arial" w:cs="Arial"/>
                <w:sz w:val="20"/>
                <w:szCs w:val="20"/>
              </w:rPr>
              <w:t>Oranjemund, //Kharas Region, Namibia</w:t>
            </w:r>
          </w:p>
        </w:tc>
      </w:tr>
      <w:tr w:rsidR="008F64FC" w:rsidRPr="008B6C93" w14:paraId="62551673" w14:textId="77777777" w:rsidTr="00373D14">
        <w:trPr/>
        <w:tc>
          <w:tcPr>
            <w:tcW w:w="4139" w:type="dxa"/>
            <w:tcBorders>
              <w:top w:val="nil"/>
              <w:left w:val="nil"/>
              <w:bottom w:val="nil"/>
              <w:right w:val="nil"/>
            </w:tcBorders>
            <w:vAlign w:val="top"/>
          </w:tcPr>
          <w:p w14:paraId="688F7BE1"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Level of qualification:</w:t>
            </w:r>
            <w:r w:rsidRPr="008B6C93">
              <w:rPr>
                <w:rStyle w:val="FootnoteReference"/>
                <w:rFonts w:ascii="Arial" w:hAnsi="Arial" w:eastAsia="Arial" w:cs="Arial"/>
                <w:sz w:val="20"/>
                <w:szCs w:val="20"/>
              </w:rPr>
              <w:footnoteReference w:id="3"/>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5</w:t>
            </w:r>
          </w:p>
        </w:tc>
        <w:tc>
          <w:tcPr>
            <w:tcW w:w="2948" w:type="dxa"/>
            <w:tcBorders>
              <w:top w:val="nil"/>
              <w:left w:val="nil"/>
              <w:bottom w:val="nil"/>
              <w:right w:val="nil"/>
            </w:tcBorders>
            <w:vAlign w:val="top"/>
          </w:tcPr>
          <w:p w14:paraId="33CD341D"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266D0A72" w14:textId="77777777" w:rsidTr="00373D14">
        <w:trPr/>
        <w:tc>
          <w:tcPr>
            <w:tcW w:w="4139" w:type="dxa"/>
            <w:tcBorders>
              <w:top w:val="nil"/>
              <w:left w:val="nil"/>
              <w:bottom w:val="nil"/>
              <w:right w:val="nil"/>
            </w:tcBorders>
            <w:vAlign w:val="top"/>
          </w:tcPr>
          <w:p w14:paraId="754B126A"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available:</w:t>
            </w:r>
            <w:r w:rsidRPr="008B6C93">
              <w:rPr>
                <w:rStyle w:val="FootnoteReference"/>
                <w:rFonts w:ascii="Arial" w:hAnsi="Arial" w:eastAsia="Arial" w:cs="Arial"/>
                <w:sz w:val="20"/>
                <w:szCs w:val="20"/>
              </w:rPr>
              <w:footnoteReference w:id="4"/>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2FBDFBA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102BBC9A" w14:textId="77777777" w:rsidTr="00373D14">
        <w:trPr/>
        <w:tc>
          <w:tcPr>
            <w:tcW w:w="4139" w:type="dxa"/>
            <w:tcBorders>
              <w:top w:val="nil"/>
              <w:left w:val="nil"/>
              <w:bottom w:val="nil"/>
              <w:right w:val="nil"/>
            </w:tcBorders>
            <w:vAlign w:val="top"/>
          </w:tcPr>
          <w:p w14:paraId="40366EC9"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required:</w:t>
            </w:r>
            <w:r w:rsidRPr="008B6C93">
              <w:rPr>
                <w:rStyle w:val="FootnoteReference"/>
                <w:rFonts w:ascii="Arial" w:hAnsi="Arial" w:eastAsia="Arial" w:cs="Arial"/>
                <w:sz w:val="20"/>
                <w:szCs w:val="20"/>
              </w:rPr>
              <w:footnoteReference w:id="5"/>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07E25035"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50774F81" w14:textId="77777777" w:rsidTr="00373D14">
        <w:trPr/>
        <w:tc>
          <w:tcPr>
            <w:tcW w:w="4139" w:type="dxa"/>
            <w:tcBorders>
              <w:top w:val="nil"/>
              <w:left w:val="nil"/>
              <w:bottom w:val="nil"/>
              <w:right w:val="nil"/>
            </w:tcBorders>
            <w:vAlign w:val="top"/>
          </w:tcPr>
          <w:p w14:paraId="78EF250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694" w:type="dxa"/>
            <w:tcBorders>
              <w:top w:val="nil"/>
              <w:left w:val="nil"/>
              <w:bottom w:val="single" w:sz="4" w:space="0" w:color="auto"/>
              <w:right w:val="nil"/>
            </w:tcBorders>
            <w:vAlign w:val="top"/>
          </w:tcPr>
          <w:p w14:paraId="096C0D8B"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948" w:type="dxa"/>
            <w:tcBorders>
              <w:top w:val="nil"/>
              <w:left w:val="nil"/>
              <w:bottom w:val="single" w:sz="4" w:space="0" w:color="auto"/>
              <w:right w:val="nil"/>
            </w:tcBorders>
            <w:vAlign w:val="top"/>
          </w:tcPr>
          <w:p w14:paraId="11504BC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r>
      <w:tr w:rsidR="008F64FC" w:rsidRPr="008B6C93" w14:paraId="70229A20" w14:textId="77777777" w:rsidTr="00373D14">
        <w:trPr/>
        <w:tc>
          <w:tcPr>
            <w:tcW w:w="4139" w:type="dxa"/>
            <w:tcBorders>
              <w:top w:val="nil"/>
              <w:left w:val="nil"/>
            </w:tcBorders>
            <w:vAlign w:val="top"/>
          </w:tcPr>
          <w:p w14:paraId="0C31F5A3"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p>
        </w:tc>
        <w:tc>
          <w:tcPr>
            <w:tcW w:w="2694" w:type="dxa"/>
            <w:tcBorders>
              <w:top w:val="single" w:sz="4" w:space="0" w:color="auto"/>
            </w:tcBorders>
            <w:vAlign w:val="top"/>
          </w:tcPr>
          <w:p w14:paraId="73A925A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Compulsory</w:t>
            </w:r>
          </w:p>
        </w:tc>
        <w:tc>
          <w:tcPr>
            <w:tcW w:w="2948" w:type="dxa"/>
            <w:tcBorders>
              <w:top w:val="single" w:sz="4" w:space="0" w:color="auto"/>
            </w:tcBorders>
            <w:vAlign w:val="top"/>
          </w:tcPr>
          <w:p w14:paraId="3B16AE1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Elective</w:t>
            </w:r>
          </w:p>
        </w:tc>
      </w:tr>
      <w:tr w:rsidR="008F64FC" w:rsidRPr="008B6C93" w14:paraId="719BA1F4" w14:textId="77777777" w:rsidTr="00373D14">
        <w:trPr/>
        <w:tc>
          <w:tcPr>
            <w:tcW w:w="4139" w:type="dxa"/>
            <w:vAlign w:val="top"/>
          </w:tcPr>
          <w:p>
            <w:pPr>
              <w:spacing w:before="40" w:after="40" w:line="240" w:lineRule="auto"/>
              <w:jc w:val="left"/>
            </w:pPr>
            <w:r>
              <w:rPr>
                <w:rFonts w:ascii="Arial" w:hAnsi="Arial" w:eastAsia="Arial" w:cs="Arial"/>
                <w:b w:val="0"/>
                <w:sz w:val="20"/>
                <w:szCs w:val="20"/>
              </w:rPr>
              <w:t>Level 5 credits:</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D744C2F"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r w:rsidR="008F64FC" w:rsidRPr="008B6C93" w14:paraId="4CC2FF3A" w14:textId="77777777" w:rsidTr="00373D14">
        <w:trPr/>
        <w:tc>
          <w:tcPr>
            <w:tcW w:w="4139" w:type="dxa"/>
            <w:vAlign w:val="top"/>
          </w:tcPr>
          <w:p w14:paraId="7AA109A5" w14:textId="77777777" w:rsidR="008F64FC" w:rsidRPr="008B6C93" w:rsidRDefault="008F64FC" w:rsidP="008F64FC">
            <w:pPr>
              <w:tabs>
                <w:tab w:val="left" w:pos="3970"/>
                <w:tab w:val="left" w:pos="6237"/>
              </w:tabs>
              <w:spacing w:line="240" w:lineRule="auto" w:before="40" w:after="40"/>
              <w:contextualSpacing/>
              <w:jc w:val="both"/>
              <w:rPr>
                <w:rFonts w:ascii="Arial" w:hAnsi="Arial" w:eastAsia="Arial" w:cs="Arial"/>
                <w:sz w:val="20"/>
                <w:szCs w:val="20"/>
              </w:rPr>
            </w:pPr>
            <w:r w:rsidRPr="008B6C93">
              <w:rPr>
                <w:rFonts w:ascii="Arial" w:hAnsi="Arial" w:eastAsia="Arial" w:cs="Arial"/>
                <w:sz w:val="20"/>
                <w:szCs w:val="20"/>
              </w:rPr>
              <w:t>Minimum total credits required:</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244998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bl>
    <w:p w14:paraId="0F921D54" w14:textId="77777777" w:rsidR="00885E26" w:rsidRPr="008B6C93" w:rsidRDefault="00885E26" w:rsidP="00373D14">
      <w:pPr>
        <w:pageBreakBefore/>
        <w:spacing w:before="0" w:after="120"/>
        <w:ind w:left="284"/>
        <w:contextualSpacing/>
        <w:rPr>
          <w:rFonts w:ascii="Arial" w:hAnsi="Arial" w:eastAsia="Arial" w:cs="Arial"/>
          <w:sz w:val="20"/>
          <w:szCs w:val="20"/>
        </w:rPr>
      </w:pPr>
      <w:r w:rsidRPr="008B6C93">
        <w:rPr>
          <w:rFonts w:ascii="Arial" w:hAnsi="Arial" w:eastAsia="Arial" w:cs="Arial"/>
          <w:b/>
          <w:bCs/>
          <w:sz w:val="20"/>
          <w:szCs w:val="20"/>
        </w:rPr>
        <w:t>Qualification Structure</w:t>
      </w:r>
      <w:r w:rsidRPr="008B6C93">
        <w:rPr>
          <w:rStyle w:val="FootnoteReference"/>
          <w:rFonts w:ascii="Arial" w:hAnsi="Arial" w:eastAsia="Arial" w:cs="Arial"/>
          <w:sz w:val="20"/>
          <w:szCs w:val="20"/>
        </w:rPr>
        <w:footnoteReference w:id="6"/>
      </w:r>
    </w:p>
    <w:tbl>
      <w:tblPr>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446"/>
        <w:gridCol w:w="5783"/>
        <w:gridCol w:w="992"/>
        <w:gridCol w:w="993"/>
      </w:tblGrid>
      <w:tr w:rsidR="00885E26" w:rsidRPr="008B6C93" w14:paraId="05DAF36E" w14:textId="77777777" w:rsidTr="00373D14">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0FE049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vAlign w:val="top"/>
          </w:tcPr>
          <w:p w14:paraId="5C02502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FC98610"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128FFDC"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CEC71EA"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Disturbed Soils Landforms and Ecosystems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Requirements and Progressive Rehabilitation Planning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RFTM-5105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Field Techniques and Measurement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SWEM-5206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Soil Water and Erosion Management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RVEA-5207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Revegetation and Ecosystem Aftercare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CSRP-5208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Stakeholder Relations and Resource Planning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RCVA-5209</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Completion Verification and Aftercare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IRCP-5210</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Rehabilitation and Closure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r>
    </w:tbl>
    <w:p w14:paraId="5E48422E" w14:textId="77777777" w:rsidR="00C65B51" w:rsidRPr="008B6C93" w:rsidRDefault="00C65B51">
      <w:pPr>
        <w:spacing w:before="0" w:after="120"/>
        <w:rPr>
          <w:rFonts w:ascii="Arial" w:hAnsi="Arial" w:eastAsia="Arial" w:cs="Arial"/>
          <w:sz w:val="20"/>
          <w:szCs w:val="20"/>
        </w:rPr>
        <w:sectPr w:rsidR="00C65B51" w:rsidRPr="008B6C93">
          <w:footerReference w:type="default" r:id="rId9"/>
          <w:headerReference w:type="default" r:id="rId75"/>
          <w:pgSz w:w="11906" w:h="16838"/>
          <w:pgMar w:top="850" w:right="907" w:bottom="850" w:left="907" w:header="397" w:footer="397" w:gutter="0"/>
          <w:pgBorders w:display="firstPage" w:offsetFrom="page">
            <w:top w:val="single" w:sz="10" w:space="20" w:color="F36B18"/>
            <w:left w:val="single" w:sz="10" w:space="20" w:color="F36B18"/>
            <w:bottom w:val="single" w:sz="10" w:space="20" w:color="F36B18"/>
            <w:right w:val="single" w:sz="10" w:space="20" w:color="F36B18"/>
          </w:pgBorders>
          <w:cols w:space="720"/>
          <w:docGrid w:linePitch="360"/>
        </w:sectPr>
      </w:pPr>
    </w:p>
    <w:p w14:paraId="23585C03" w14:textId="47D218A8" w:rsidR="00885E26" w:rsidRPr="008B6C93" w:rsidRDefault="00885E26" w:rsidP="00885E26">
      <w:pPr>
        <w:keepNext/>
        <w:spacing w:before="0" w:after="120"/>
        <w:rPr>
          <w:rFonts w:ascii="Arial" w:hAnsi="Arial" w:eastAsia="Arial" w:cs="Arial"/>
          <w:b/>
          <w:bCs/>
          <w:lang w:val="en-US"/>
          <w:sz w:val="20"/>
          <w:szCs w:val="20"/>
        </w:rPr>
      </w:pPr>
      <w:r w:rsidRPr="008B6C93">
        <w:rPr>
          <w:rFonts w:ascii="Arial" w:hAnsi="Arial" w:eastAsia="Arial" w:cs="Arial"/>
          <w:b/>
          <w:bCs/>
          <w:sz w:val="20"/>
          <w:lang w:val="en-US"/>
          <w:szCs w:val="20"/>
        </w:rPr>
        <w:t>Detailed Qualification Structure</w:t>
      </w:r>
    </w:p>
    <w:tbl>
      <w:tblPr>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3"/>
        <w:gridCol w:w="1003"/>
        <w:gridCol w:w="1134"/>
        <w:gridCol w:w="1433"/>
        <w:gridCol w:w="1417"/>
        <w:gridCol w:w="1276"/>
      </w:tblGrid>
      <w:tr w:rsidR="00885E26" w:rsidRPr="008B6C93" w14:paraId="435529B1"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0FCEABD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06A24AC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B1B12E1"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78AFF4C3"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14DD16E"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716834B6"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45BB1C7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63F9563"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4052CB7C"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Disturbed Soils Landforms and Ecosystems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Requirements and Progressive Rehabilitation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RFTM-5105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Field Techniques and Measurement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SWEM-5206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Soil Water and Erosion Management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RVEA-5207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Revegetation and Ecosystem Aftercare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CSRP-5208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Stakeholder Relations and Resource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RCVA-5209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Completion Verification and Aftercare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IRCP-5210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Rehabilitation and Closure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CRPP-5104,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bl>
    <w:p w14:paraId="69587798" w14:textId="613F5814" w:rsidR="00484777" w:rsidRPr="008B6C93" w:rsidRDefault="0082754C" w:rsidP="00484777">
      <w:pPr>
        <w:spacing w:before="0" w:after="120"/>
        <w:rPr>
          <w:rFonts w:ascii="Arial" w:hAnsi="Arial" w:eastAsia="Arial" w:cs="Arial"/>
          <w:b/>
          <w:bCs/>
          <w:sz w:val="20"/>
          <w:szCs w:val="20"/>
        </w:rPr>
      </w:pPr>
      <w:r w:rsidRPr="008B6C93">
        <w:rPr>
          <w:rFonts w:ascii="Arial" w:hAnsi="Arial" w:eastAsia="Arial" w:cs="Arial"/>
          <w:b/>
          <w:bCs/>
          <w:sz w:val="20"/>
          <w:lang w:val="en-US"/>
          <w:szCs w:val="20"/>
        </w:rPr>
        <w:lastRenderedPageBreak/>
        <w:t>Learning Time Distribution Framework</w:t>
      </w:r>
      <w:r w:rsidRPr="008B6C93">
        <w:rPr>
          <w:rStyle w:val="FootnoteReference"/>
          <w:rFonts w:ascii="Arial" w:hAnsi="Arial" w:eastAsia="Arial" w:cs="Arial"/>
          <w:b/>
          <w:bCs/>
          <w:sz w:val="20"/>
          <w:lang w:val="en-US"/>
          <w:szCs w:val="20"/>
        </w:rPr>
        <w:footnoteReference w:id="7"/>
      </w:r>
    </w:p>
    <w:p w14:paraId="1136D19D" w14:textId="7F1437EB" w:rsidR="00484777" w:rsidRPr="008B6C93" w:rsidRDefault="00484777" w:rsidP="0082754C">
      <w:pPr>
        <w:spacing w:before="0" w:after="120"/>
        <w:ind w:right="38"/>
        <w:contextualSpacing/>
        <w:jc w:val="both"/>
        <w:rPr>
          <w:rFonts w:ascii="Arial" w:hAnsi="Arial" w:eastAsia="Arial" w:cs="Arial"/>
          <w:sz w:val="20"/>
          <w:szCs w:val="20"/>
        </w:rPr>
      </w:pPr>
      <w:r>
        <w:rPr>
          <w:rFonts w:ascii="Arial" w:hAnsi="Arial" w:eastAsia="Arial" w:cs="Arial"/>
          <w:sz w:val="20"/>
          <w:szCs w:val="20"/>
        </w:rPr>
        <w:t>One credit represents ten notional learning hours. The 120-credit qualification therefore contains 1,200 hours, including learning and assessment. The activity allocation below is the College’s planning model, not a nationally prescribed percentage split.</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3544"/>
        <w:gridCol w:w="2036"/>
        <w:gridCol w:w="8737"/>
      </w:tblGrid>
      <w:tr w:rsidR="0082754C" w:rsidRPr="008B6C93" w14:paraId="633384BA" w14:textId="77777777" w:rsidTr="00484777">
        <w:trPr>
          <w:tblHeader/>
        </w:trPr>
        <w:tc>
          <w:tcPr>
            <w:tcW w:w="709" w:type="dxa"/>
            <w:shd w:val="clear" w:color="auto" w:fill="D9D9D9"/>
            <w:vAlign w:val="top"/>
          </w:tcPr>
          <w:p w14:paraId="552B941E"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No</w:t>
            </w:r>
          </w:p>
        </w:tc>
        <w:tc>
          <w:tcPr>
            <w:tcW w:w="3544" w:type="dxa"/>
            <w:shd w:val="clear" w:color="auto" w:fill="D9D9D9"/>
            <w:vAlign w:val="top"/>
          </w:tcPr>
          <w:p w14:paraId="03DE19D2"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Learning Activity Category</w:t>
            </w:r>
          </w:p>
        </w:tc>
        <w:tc>
          <w:tcPr>
            <w:tcW w:w="2036" w:type="dxa"/>
            <w:shd w:val="clear" w:color="auto" w:fill="D9D9D9"/>
            <w:vAlign w:val="top"/>
          </w:tcPr>
          <w:p w14:paraId="7A9140D6"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 Allocation Per Credit</w:t>
            </w:r>
          </w:p>
        </w:tc>
        <w:tc>
          <w:tcPr>
            <w:tcW w:w="8737" w:type="dxa"/>
            <w:shd w:val="clear" w:color="auto" w:fill="D9D9D9"/>
            <w:vAlign w:val="top"/>
          </w:tcPr>
          <w:p w14:paraId="317150BF"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Interpretation</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1</w:t>
            </w:r>
          </w:p>
        </w:tc>
        <w:tc>
          <w:tcPr>
            <w:tcW w:w="3544" w:type="dxa"/>
            <w:vAlign w:val="top"/>
          </w:tcPr>
          <w:p>
            <w:pPr>
              <w:spacing w:before="40" w:after="40" w:line="240" w:lineRule="auto"/>
              <w:jc w:val="left"/>
            </w:pPr>
            <w:r>
              <w:rPr>
                <w:rFonts w:ascii="Arial" w:hAnsi="Arial" w:eastAsia="Arial" w:cs="Arial"/>
                <w:b w:val="0"/>
                <w:sz w:val="20"/>
                <w:szCs w:val="20"/>
              </w:rPr>
              <w:t>Taught contact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Lectures, seminars, tutorials and structured workshops.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2</w:t>
            </w:r>
          </w:p>
        </w:tc>
        <w:tc>
          <w:tcPr>
            <w:tcW w:w="3544" w:type="dxa"/>
            <w:vAlign w:val="top"/>
          </w:tcPr>
          <w:p>
            <w:pPr>
              <w:spacing w:before="40" w:after="40" w:line="240" w:lineRule="auto"/>
              <w:jc w:val="left"/>
            </w:pPr>
            <w:r>
              <w:rPr>
                <w:rFonts w:ascii="Arial" w:hAnsi="Arial" w:eastAsia="Arial" w:cs="Arial"/>
                <w:b w:val="0"/>
                <w:sz w:val="20"/>
                <w:szCs w:val="20"/>
              </w:rPr>
              <w:t>Guided practical contact learning / directed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Supervised exercises, practical activities and simulations within the programme safety boundaries.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3</w:t>
            </w:r>
          </w:p>
        </w:tc>
        <w:tc>
          <w:tcPr>
            <w:tcW w:w="3544" w:type="dxa"/>
            <w:vAlign w:val="top"/>
          </w:tcPr>
          <w:p>
            <w:pPr>
              <w:spacing w:before="40" w:after="40" w:line="240" w:lineRule="auto"/>
              <w:jc w:val="left"/>
            </w:pPr>
            <w:r>
              <w:rPr>
                <w:rFonts w:ascii="Arial" w:hAnsi="Arial" w:eastAsia="Arial" w:cs="Arial"/>
                <w:b w:val="0"/>
                <w:sz w:val="20"/>
                <w:szCs w:val="20"/>
              </w:rPr>
              <w:t>Independent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Reading, preparation, research and independent practice.</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4</w:t>
            </w:r>
          </w:p>
        </w:tc>
        <w:tc>
          <w:tcPr>
            <w:tcW w:w="3544" w:type="dxa"/>
            <w:vAlign w:val="top"/>
          </w:tcPr>
          <w:p>
            <w:pPr>
              <w:spacing w:before="40" w:after="40" w:line="240" w:lineRule="auto"/>
              <w:jc w:val="left"/>
            </w:pPr>
            <w:r>
              <w:rPr>
                <w:rFonts w:ascii="Arial" w:hAnsi="Arial" w:eastAsia="Arial" w:cs="Arial"/>
                <w:b w:val="0"/>
                <w:sz w:val="20"/>
                <w:szCs w:val="20"/>
              </w:rPr>
              <w:t>Assessment</w:t>
            </w:r>
          </w:p>
        </w:tc>
        <w:tc>
          <w:tcPr>
            <w:tcW w:w="2036" w:type="dxa"/>
            <w:vAlign w:val="top"/>
          </w:tcPr>
          <w:p>
            <w:pPr>
              <w:spacing w:before="40" w:after="40" w:line="240" w:lineRule="auto"/>
              <w:jc w:val="left"/>
            </w:pPr>
            <w:r>
              <w:rPr>
                <w:rFonts w:ascii="Arial" w:hAnsi="Arial" w:eastAsia="Arial" w:cs="Arial"/>
                <w:b w:val="0"/>
                <w:sz w:val="20"/>
                <w:szCs w:val="20"/>
              </w:rPr>
              <w:t>10% | 120 hours</w:t>
            </w:r>
          </w:p>
        </w:tc>
        <w:tc>
          <w:tcPr>
            <w:tcW w:w="8737" w:type="dxa"/>
            <w:vAlign w:val="top"/>
          </w:tcPr>
          <w:p>
            <w:pPr>
              <w:spacing w:before="40" w:after="40" w:line="240" w:lineRule="auto"/>
              <w:jc w:val="left"/>
            </w:pPr>
            <w:r>
              <w:rPr>
                <w:rFonts w:ascii="Arial" w:hAnsi="Arial" w:eastAsia="Arial" w:cs="Arial"/>
                <w:b w:val="0"/>
                <w:sz w:val="20"/>
                <w:szCs w:val="20"/>
              </w:rPr>
              <w:t>Preparation and completion of assessments; recorded separately from contact hours.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r>
          </w:p>
        </w:tc>
        <w:tc>
          <w:tcPr>
            <w:tcW w:w="3544" w:type="dxa"/>
            <w:vAlign w:val="top"/>
          </w:tcPr>
          <w:p>
            <w:pPr>
              <w:spacing w:before="40" w:after="40" w:line="240" w:lineRule="auto"/>
              <w:jc w:val="left"/>
            </w:pPr>
            <w:r>
              <w:rPr>
                <w:rFonts w:ascii="Arial" w:hAnsi="Arial" w:eastAsia="Arial" w:cs="Arial"/>
                <w:b w:val="0"/>
                <w:sz w:val="20"/>
                <w:szCs w:val="20"/>
              </w:rPr>
              <w:t>Total</w:t>
            </w:r>
          </w:p>
        </w:tc>
        <w:tc>
          <w:tcPr>
            <w:tcW w:w="2036" w:type="dxa"/>
            <w:vAlign w:val="top"/>
          </w:tcPr>
          <w:p>
            <w:pPr>
              <w:spacing w:before="40" w:after="40" w:line="240" w:lineRule="auto"/>
              <w:jc w:val="left"/>
            </w:pPr>
            <w:r>
              <w:rPr>
                <w:rFonts w:ascii="Arial" w:hAnsi="Arial" w:eastAsia="Arial" w:cs="Arial"/>
                <w:b w:val="0"/>
                <w:sz w:val="20"/>
                <w:szCs w:val="20"/>
              </w:rPr>
              <w:t>100% | 1,200 hours</w:t>
            </w:r>
          </w:p>
        </w:tc>
        <w:tc>
          <w:tcPr>
            <w:tcW w:w="8737" w:type="dxa"/>
            <w:vAlign w:val="top"/>
          </w:tcPr>
          <w:p>
            <w:pPr>
              <w:spacing w:before="40" w:after="40" w:line="240" w:lineRule="auto"/>
              <w:jc w:val="left"/>
            </w:pPr>
            <w:r>
              <w:rPr>
                <w:rFonts w:ascii="Arial" w:hAnsi="Arial" w:eastAsia="Arial" w:cs="Arial"/>
                <w:b w:val="0"/>
                <w:sz w:val="20"/>
                <w:szCs w:val="20"/>
              </w:rPr>
              <w:t>720 contact hours; 480 independent-learning and assessment hours.</w:t>
            </w:r>
          </w:p>
        </w:tc>
      </w:tr>
    </w:tbl>
    <w:p w14:paraId="14485BC9" w14:textId="77777777" w:rsidR="006F54F2" w:rsidRPr="008B6C93" w:rsidRDefault="006F54F2" w:rsidP="006F54F2">
      <w:pPr>
        <w:pStyle w:val="Heading1"/>
        <w:spacing w:before="0" w:after="120"/>
        <w:rPr>
          <w:rFonts w:ascii="Arial" w:hAnsi="Arial" w:eastAsia="Arial" w:cs="Arial"/>
          <w:sz w:val="20"/>
          <w:szCs w:val="20"/>
        </w:rPr>
      </w:pPr>
      <w:r w:rsidRPr="008B6C93">
        <w:rPr>
          <w:rFonts w:ascii="Arial" w:hAnsi="Arial" w:eastAsia="Arial" w:cs="Arial"/>
          <w:sz w:val="20"/>
          <w:szCs w:val="20"/>
        </w:rPr>
        <w:t>Credit weighting rationale</w:t>
      </w:r>
    </w:p>
    <w:p w14:paraId="36F5E28C"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The two shared 10-credit foundations support academic communication and secure information use. Semester 1 assigns 40 further credits to three discipline foundations. Semester 2 assigns 44 credits to four applied modules and 16 to the integrated project. Greater credit is allocated to repeated technical analysis and integrated evidence rather than title complexity.</w:t>
      </w:r>
    </w:p>
    <w:p w14:paraId="1200D500"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Module allocations use the same percentages: a 10-credit module has 30 taught, 30 guided practical, 30 independent and 10 assessment hours; a 12-credit module has 36, 36, 36 and 12 hours; a 14-credit module has 42, 42, 42 and 14 hours; a 16-credit module has 48, 48, 48 and 16 hours. Each semester totals 600 notional hours, including 360 contact hours.</w:t>
      </w:r>
    </w:p>
    <w:p w14:paraId="7A2ED4AF" w14:textId="77777777" w:rsidR="00274B8B" w:rsidRPr="008B6C93" w:rsidRDefault="00274B8B" w:rsidP="00274B8B">
      <w:pPr>
        <w:pStyle w:val="Heading2"/>
        <w:spacing w:before="0" w:after="120"/>
        <w:contextualSpacing/>
        <w:rPr>
          <w:rFonts w:ascii="Arial" w:hAnsi="Arial" w:eastAsia="Arial" w:cs="Arial"/>
          <w:sz w:val="20"/>
          <w:szCs w:val="20"/>
        </w:rPr>
      </w:pPr>
      <w:r>
        <w:rPr>
          <w:rFonts w:ascii="Arial" w:hAnsi="Arial" w:eastAsia="Arial" w:cs="Arial"/>
          <w:sz w:val="20"/>
          <w:szCs w:val="20"/>
        </w:rPr>
        <w:t>Year 1 (Semesters 1 and 2) 120 Credits</w:t>
      </w:r>
    </w:p>
    <w:tbl>
      <w:tblPr>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7"/>
        <w:gridCol w:w="1003"/>
        <w:gridCol w:w="1134"/>
        <w:gridCol w:w="1433"/>
        <w:gridCol w:w="1417"/>
        <w:gridCol w:w="1276"/>
      </w:tblGrid>
      <w:tr w:rsidR="00274B8B" w:rsidRPr="008B6C93" w14:paraId="40C73936"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61AC4A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7BF64733"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2167354"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253247A"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6AAB1051"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3F9DF5E0"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29EE7548"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C161C0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373D2BD4"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Disturbed Soils Landforms and Ecosystems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Requirements and Progressive Rehabilitation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RFTM-5105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Field Techniques and Measurement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1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SWEM-5206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Soil Water and Erosion Management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RVEA-5207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Revegetation and Ecosystem Aftercare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CSRP-5208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Stakeholder Relations and Resource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RCVA-5209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Completion Verification and Aftercare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IRCP-5210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Rehabilitation and Closure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CRPP-5104, RFTM-5105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2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Year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720</w:t>
            </w:r>
          </w:p>
        </w:tc>
      </w:tr>
    </w:tbl>
    <w:p w14:paraId="0C9746FE"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spacing w:before="0" w:after="120"/>
        <w:rPr>
          <w:rFonts w:ascii="Arial" w:hAnsi="Arial" w:eastAsia="Arial" w:cs="Arial"/>
          <w:sz w:val="20"/>
          <w:szCs w:val="20"/>
          <w:u w:val="single"/>
        </w:rPr>
      </w:pPr>
      <w:r w:rsidRPr="008B6C93">
        <w:rPr>
          <w:rFonts w:ascii="Arial" w:hAnsi="Arial" w:eastAsia="Arial" w:cs="Arial"/>
          <w:sz w:val="20"/>
          <w:szCs w:val="20"/>
          <w:u w:val="single"/>
        </w:rPr>
        <w:lastRenderedPageBreak/>
        <w:t>Qualification Structure by Outcomes and Fields of Learning</w:t>
      </w:r>
    </w:p>
    <w:p w14:paraId="50AA284D" w14:textId="77777777" w:rsidR="00C65B51" w:rsidRPr="008B6C93" w:rsidRDefault="00000000">
      <w:pPr>
        <w:keepNext/>
        <w:spacing w:before="0" w:after="120"/>
        <w:rPr>
          <w:rFonts w:ascii="Arial" w:hAnsi="Arial" w:eastAsia="Arial" w:cs="Arial"/>
          <w:b/>
          <w:sz w:val="20"/>
          <w:szCs w:val="20"/>
        </w:rPr>
      </w:pPr>
      <w:r w:rsidRPr="008B6C93">
        <w:rPr>
          <w:rFonts w:ascii="Arial" w:hAnsi="Arial" w:eastAsia="Arial" w:cs="Arial"/>
          <w:b/>
          <w:sz w:val="20"/>
          <w:szCs w:val="20"/>
        </w:rPr>
        <w:t>Qualification outcomes</w:t>
      </w:r>
    </w:p>
    <w:tbl>
      <w:tblPr>
        <w:tblStyle w:val="TableGrid"/>
        <w:tblW w:w="0" w:type="auto"/>
        <w:tblInd w:w="108" w:type="dxa"/>
        <w:tblLook w:val="04A0" w:firstRow="1" w:lastRow="0" w:firstColumn="1" w:lastColumn="0" w:noHBand="0" w:noVBand="1"/>
      </w:tblPr>
      <w:tblGrid>
        <w:gridCol w:w="709"/>
        <w:gridCol w:w="14423"/>
      </w:tblGrid>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EO1</w:t>
            </w:r>
          </w:p>
        </w:tc>
        <w:tc>
          <w:tcPr>
            <w:tcW w:w="14423" w:type="dxa"/>
            <w:vAlign w:val="top"/>
          </w:tcPr>
          <w:p>
            <w:pPr>
              <w:spacing w:before="40" w:after="40" w:line="240" w:lineRule="auto"/>
              <w:jc w:val="left"/>
            </w:pPr>
            <w:r>
              <w:rPr>
                <w:rFonts w:ascii="Arial" w:hAnsi="Arial" w:eastAsia="Arial" w:cs="Arial"/>
                <w:b w:val="0"/>
                <w:sz w:val="20"/>
                <w:szCs w:val="20"/>
              </w:rPr>
              <w:t>Communicate rehabilitation and closure proposals in clear technical and academic English.</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EO2</w:t>
            </w:r>
          </w:p>
        </w:tc>
        <w:tc>
          <w:tcPr>
            <w:tcW w:w="14423" w:type="dxa"/>
            <w:vAlign w:val="top"/>
          </w:tcPr>
          <w:p>
            <w:pPr>
              <w:spacing w:before="40" w:after="40" w:line="240" w:lineRule="auto"/>
              <w:jc w:val="left"/>
            </w:pPr>
            <w:r>
              <w:rPr>
                <w:rFonts w:ascii="Arial" w:hAnsi="Arial" w:eastAsia="Arial" w:cs="Arial"/>
                <w:b w:val="0"/>
                <w:sz w:val="20"/>
                <w:szCs w:val="20"/>
              </w:rPr>
              <w:t>Maintain and analyse traceable rehabilitation records using appropriate information systems.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EO3</w:t>
            </w:r>
          </w:p>
        </w:tc>
        <w:tc>
          <w:tcPr>
            <w:tcW w:w="14423" w:type="dxa"/>
            <w:vAlign w:val="top"/>
          </w:tcPr>
          <w:p>
            <w:pPr>
              <w:spacing w:before="40" w:after="40" w:line="240" w:lineRule="auto"/>
              <w:jc w:val="left"/>
            </w:pPr>
            <w:r>
              <w:rPr>
                <w:rFonts w:ascii="Arial" w:hAnsi="Arial" w:eastAsia="Arial" w:cs="Arial"/>
                <w:b w:val="0"/>
                <w:sz w:val="20"/>
                <w:szCs w:val="20"/>
              </w:rPr>
              <w:t>Interpret disturbed-land conditions and closure objectives to plan practical rehabilitation tasks.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EO4</w:t>
            </w:r>
          </w:p>
        </w:tc>
        <w:tc>
          <w:tcPr>
            <w:tcW w:w="14423" w:type="dxa"/>
            <w:vAlign w:val="top"/>
          </w:tcPr>
          <w:p>
            <w:pPr>
              <w:spacing w:before="40" w:after="40" w:line="240" w:lineRule="auto"/>
              <w:jc w:val="left"/>
            </w:pPr>
            <w:r>
              <w:rPr>
                <w:rFonts w:ascii="Arial" w:hAnsi="Arial" w:eastAsia="Arial" w:cs="Arial"/>
                <w:b w:val="0"/>
                <w:sz w:val="20"/>
                <w:szCs w:val="20"/>
              </w:rPr>
              <w:t>Select and monitor soil, water, landform and vegetation measures within approved specifications.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EO5</w:t>
            </w:r>
          </w:p>
        </w:tc>
        <w:tc>
          <w:tcPr>
            <w:tcW w:w="14423" w:type="dxa"/>
            <w:vAlign w:val="top"/>
          </w:tcPr>
          <w:p>
            <w:pPr>
              <w:spacing w:before="40" w:after="40" w:line="240" w:lineRule="auto"/>
              <w:jc w:val="left"/>
            </w:pPr>
            <w:r>
              <w:rPr>
                <w:rFonts w:ascii="Arial" w:hAnsi="Arial" w:eastAsia="Arial" w:cs="Arial"/>
                <w:b w:val="0"/>
                <w:sz w:val="20"/>
                <w:szCs w:val="20"/>
              </w:rPr>
              <w:t>Coordinate rehabilitation work, consultation records and resource schedules with appropriate escalation.</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EO6</w:t>
            </w:r>
          </w:p>
        </w:tc>
        <w:tc>
          <w:tcPr>
            <w:tcW w:w="14423" w:type="dxa"/>
            <w:vAlign w:val="top"/>
          </w:tcPr>
          <w:p>
            <w:pPr>
              <w:spacing w:before="40" w:after="40" w:line="240" w:lineRule="auto"/>
              <w:jc w:val="left"/>
            </w:pPr>
            <w:r>
              <w:rPr>
                <w:rFonts w:ascii="Arial" w:hAnsi="Arial" w:eastAsia="Arial" w:cs="Arial"/>
                <w:b w:val="0"/>
                <w:sz w:val="20"/>
                <w:szCs w:val="20"/>
              </w:rPr>
              <w:t>Prepare an integrated rehabilitation and closure implementation proposal with measurable completion criteria.</w:t>
            </w:r>
          </w:p>
        </w:tc>
      </w:tr>
    </w:tbl>
    <w:p w14:paraId="77DF3E76"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t>Fields of Learning in the Republic of Namibia</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4459"/>
      </w:tblGrid>
      <w:tr w:rsidR="00484777" w:rsidRPr="008B6C93" w14:paraId="32767CB0" w14:textId="77777777" w:rsidTr="00484777">
        <w:trPr>
          <w:tblHeader/>
        </w:trPr>
        <w:tc>
          <w:tcPr>
            <w:tcW w:w="567" w:type="dxa"/>
            <w:shd w:val="clear" w:color="auto" w:fill="D9D9D9"/>
            <w:vAlign w:val="top"/>
          </w:tcPr>
          <w:p w14:paraId="59F6E304" w14:textId="77777777" w:rsidR="00484777" w:rsidRPr="008B6C93" w:rsidRDefault="00484777" w:rsidP="008862B1">
            <w:pPr>
              <w:pStyle w:val="ListParagraph"/>
              <w:keepNext/>
              <w:spacing w:line="240" w:lineRule="auto" w:before="40" w:after="40"/>
              <w:ind w:left="0" w:hanging="68"/>
              <w:rPr>
                <w:rFonts w:ascii="Arial" w:hAnsi="Arial" w:eastAsia="Arial" w:cs="Arial"/>
                <w:lang w:val="en-US"/>
                <w:sz w:val="20"/>
                <w:szCs w:val="20"/>
              </w:rPr>
            </w:pPr>
            <w:r w:rsidRPr="008B6C93">
              <w:rPr>
                <w:rFonts w:ascii="Arial" w:hAnsi="Arial" w:eastAsia="Arial" w:cs="Arial"/>
                <w:lang w:val="en-US"/>
                <w:sz w:val="20"/>
                <w:szCs w:val="20"/>
              </w:rPr>
              <w:t>No</w:t>
            </w:r>
          </w:p>
        </w:tc>
        <w:tc>
          <w:tcPr>
            <w:tcW w:w="14459" w:type="dxa"/>
            <w:shd w:val="clear" w:color="auto" w:fill="D9D9D9"/>
            <w:vAlign w:val="top"/>
          </w:tcPr>
          <w:p w14:paraId="6F6FE379" w14:textId="083C77E8" w:rsidR="00484777" w:rsidRPr="008B6C93" w:rsidRDefault="00484777" w:rsidP="008862B1">
            <w:pPr>
              <w:pStyle w:val="ListParagraph"/>
              <w:keepNext/>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 xml:space="preserve">NQF </w:t>
            </w:r>
            <w:r w:rsidRPr="008B6C93">
              <w:rPr>
                <w:rFonts w:ascii="Arial" w:hAnsi="Arial" w:eastAsia="Arial" w:cs="Arial"/>
                <w:sz w:val="20"/>
                <w:szCs w:val="20"/>
              </w:rPr>
              <w:t xml:space="preserve">Broad </w:t>
            </w:r>
            <w:r w:rsidRPr="008B6C93">
              <w:rPr>
                <w:rFonts w:ascii="Arial" w:hAnsi="Arial" w:eastAsia="Arial" w:cs="Arial"/>
                <w:lang w:val="en-US"/>
                <w:sz w:val="20"/>
                <w:szCs w:val="20"/>
              </w:rPr>
              <w:t xml:space="preserve">Field(s) </w:t>
            </w:r>
          </w:p>
        </w:tc>
      </w:tr>
      <w:tr w:rsidR="00484777" w:rsidRPr="008B6C93" w14:paraId="2BF09E3E" w14:textId="77777777" w:rsidTr="00484777">
        <w:trPr/>
        <w:tc>
          <w:tcPr>
            <w:tcW w:w="567" w:type="dxa"/>
            <w:vAlign w:val="top"/>
          </w:tcPr>
          <w:p w14:paraId="069A3CCA"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w:t>
            </w:r>
          </w:p>
        </w:tc>
        <w:tc>
          <w:tcPr>
            <w:tcW w:w="14459" w:type="dxa"/>
            <w:vAlign w:val="top"/>
          </w:tcPr>
          <w:p w14:paraId="661AC47B" w14:textId="0C0258B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Agriculture and Nature Conservation</w:t>
            </w:r>
          </w:p>
        </w:tc>
      </w:tr>
      <w:tr w:rsidR="00484777" w:rsidRPr="008B6C93" w14:paraId="49BF5576" w14:textId="77777777" w:rsidTr="00484777">
        <w:trPr/>
        <w:tc>
          <w:tcPr>
            <w:tcW w:w="567" w:type="dxa"/>
            <w:vAlign w:val="top"/>
          </w:tcPr>
          <w:p w14:paraId="48F3782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2</w:t>
            </w:r>
          </w:p>
        </w:tc>
        <w:tc>
          <w:tcPr>
            <w:tcW w:w="14459" w:type="dxa"/>
            <w:vAlign w:val="top"/>
          </w:tcPr>
          <w:p w14:paraId="3F5562E2" w14:textId="2029780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Business, Commerce and Management Studies</w:t>
            </w:r>
          </w:p>
        </w:tc>
      </w:tr>
      <w:tr w:rsidR="00484777" w:rsidRPr="008B6C93" w14:paraId="2F93D6D7" w14:textId="77777777" w:rsidTr="00484777">
        <w:trPr/>
        <w:tc>
          <w:tcPr>
            <w:tcW w:w="567" w:type="dxa"/>
            <w:vAlign w:val="top"/>
          </w:tcPr>
          <w:p w14:paraId="4C3E762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3</w:t>
            </w:r>
          </w:p>
        </w:tc>
        <w:tc>
          <w:tcPr>
            <w:tcW w:w="14459" w:type="dxa"/>
            <w:vAlign w:val="top"/>
          </w:tcPr>
          <w:p w14:paraId="134740F6" w14:textId="71EF337B"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Communication Studies and Language</w:t>
            </w:r>
          </w:p>
        </w:tc>
      </w:tr>
      <w:tr w:rsidR="00484777" w:rsidRPr="008B6C93" w14:paraId="091A200B" w14:textId="77777777" w:rsidTr="00484777">
        <w:trPr/>
        <w:tc>
          <w:tcPr>
            <w:tcW w:w="567" w:type="dxa"/>
            <w:vAlign w:val="top"/>
          </w:tcPr>
          <w:p w14:paraId="55A5B5CB"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4</w:t>
            </w:r>
          </w:p>
        </w:tc>
        <w:tc>
          <w:tcPr>
            <w:tcW w:w="14459" w:type="dxa"/>
            <w:vAlign w:val="top"/>
          </w:tcPr>
          <w:p w14:paraId="513C15B8" w14:textId="0096EEB2"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Culture and the Arts</w:t>
            </w:r>
          </w:p>
        </w:tc>
      </w:tr>
      <w:tr w:rsidR="00484777" w:rsidRPr="008B6C93" w14:paraId="01A5F9B3" w14:textId="77777777" w:rsidTr="00484777">
        <w:trPr/>
        <w:tc>
          <w:tcPr>
            <w:tcW w:w="567" w:type="dxa"/>
            <w:vAlign w:val="top"/>
          </w:tcPr>
          <w:p w14:paraId="4A4C0490"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5</w:t>
            </w:r>
          </w:p>
        </w:tc>
        <w:tc>
          <w:tcPr>
            <w:tcW w:w="14459" w:type="dxa"/>
            <w:vAlign w:val="top"/>
          </w:tcPr>
          <w:p w14:paraId="6157D57D" w14:textId="394FE3A1"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Education, Training and Development</w:t>
            </w:r>
          </w:p>
        </w:tc>
      </w:tr>
      <w:tr w:rsidR="00484777" w:rsidRPr="008B6C93" w14:paraId="15437FA5" w14:textId="77777777" w:rsidTr="00484777">
        <w:trPr/>
        <w:tc>
          <w:tcPr>
            <w:tcW w:w="567" w:type="dxa"/>
            <w:vAlign w:val="top"/>
          </w:tcPr>
          <w:p w14:paraId="576900F9"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6</w:t>
            </w:r>
          </w:p>
        </w:tc>
        <w:tc>
          <w:tcPr>
            <w:tcW w:w="14459" w:type="dxa"/>
            <w:vAlign w:val="top"/>
          </w:tcPr>
          <w:p w14:paraId="72572C18" w14:textId="48DC5D79"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Manufacturing, Engineering and Technology</w:t>
            </w:r>
          </w:p>
        </w:tc>
      </w:tr>
      <w:tr w:rsidR="00484777" w:rsidRPr="008B6C93" w14:paraId="20F8F484" w14:textId="77777777" w:rsidTr="00484777">
        <w:trPr/>
        <w:tc>
          <w:tcPr>
            <w:tcW w:w="567" w:type="dxa"/>
            <w:vAlign w:val="top"/>
          </w:tcPr>
          <w:p w14:paraId="5984983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7</w:t>
            </w:r>
          </w:p>
        </w:tc>
        <w:tc>
          <w:tcPr>
            <w:tcW w:w="14459" w:type="dxa"/>
            <w:vAlign w:val="top"/>
          </w:tcPr>
          <w:p w14:paraId="4ED01D18" w14:textId="48FAC2E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Human and Social Studies</w:t>
            </w:r>
          </w:p>
        </w:tc>
      </w:tr>
      <w:tr w:rsidR="00484777" w:rsidRPr="008B6C93" w14:paraId="54696A55" w14:textId="77777777" w:rsidTr="00484777">
        <w:trPr/>
        <w:tc>
          <w:tcPr>
            <w:tcW w:w="567" w:type="dxa"/>
            <w:vAlign w:val="top"/>
          </w:tcPr>
          <w:p w14:paraId="09C93AC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8</w:t>
            </w:r>
          </w:p>
        </w:tc>
        <w:tc>
          <w:tcPr>
            <w:tcW w:w="14459" w:type="dxa"/>
            <w:vAlign w:val="top"/>
          </w:tcPr>
          <w:p w14:paraId="07E0C16F" w14:textId="5714BB0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Law, Military Science and Security</w:t>
            </w:r>
          </w:p>
        </w:tc>
      </w:tr>
      <w:tr w:rsidR="00484777" w:rsidRPr="008B6C93" w14:paraId="24343AB2" w14:textId="77777777" w:rsidTr="00484777">
        <w:trPr/>
        <w:tc>
          <w:tcPr>
            <w:tcW w:w="567" w:type="dxa"/>
            <w:vAlign w:val="top"/>
          </w:tcPr>
          <w:p w14:paraId="6B2122C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9</w:t>
            </w:r>
          </w:p>
        </w:tc>
        <w:tc>
          <w:tcPr>
            <w:tcW w:w="14459" w:type="dxa"/>
            <w:vAlign w:val="top"/>
          </w:tcPr>
          <w:p w14:paraId="713F4B2F" w14:textId="515755C7"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Health Sciences and Social Services</w:t>
            </w:r>
          </w:p>
        </w:tc>
      </w:tr>
      <w:tr w:rsidR="00484777" w:rsidRPr="008B6C93" w14:paraId="320466B5" w14:textId="77777777" w:rsidTr="00484777">
        <w:trPr/>
        <w:tc>
          <w:tcPr>
            <w:tcW w:w="567" w:type="dxa"/>
            <w:vAlign w:val="top"/>
          </w:tcPr>
          <w:p w14:paraId="02BC727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10</w:t>
            </w:r>
          </w:p>
        </w:tc>
        <w:tc>
          <w:tcPr>
            <w:tcW w:w="14459" w:type="dxa"/>
            <w:vAlign w:val="top"/>
          </w:tcPr>
          <w:p w14:paraId="127F203C" w14:textId="1E829E8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Mathematical and Computer Sciences</w:t>
            </w:r>
          </w:p>
        </w:tc>
      </w:tr>
      <w:tr w:rsidR="00484777" w:rsidRPr="008B6C93" w14:paraId="62261864" w14:textId="77777777" w:rsidTr="00484777">
        <w:trPr/>
        <w:tc>
          <w:tcPr>
            <w:tcW w:w="567" w:type="dxa"/>
            <w:vAlign w:val="top"/>
          </w:tcPr>
          <w:p w14:paraId="6DE4EE1D"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11</w:t>
            </w:r>
          </w:p>
        </w:tc>
        <w:tc>
          <w:tcPr>
            <w:tcW w:w="14459" w:type="dxa"/>
            <w:vAlign w:val="top"/>
          </w:tcPr>
          <w:p w14:paraId="028FCFDE" w14:textId="14080506"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Planning and Construction</w:t>
            </w:r>
          </w:p>
        </w:tc>
      </w:tr>
      <w:tr w:rsidR="00484777" w:rsidRPr="008B6C93" w14:paraId="68E938D4" w14:textId="77777777" w:rsidTr="00484777">
        <w:trPr/>
        <w:tc>
          <w:tcPr>
            <w:tcW w:w="567" w:type="dxa"/>
            <w:vAlign w:val="top"/>
          </w:tcPr>
          <w:p w14:paraId="6A829CA1"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12</w:t>
            </w:r>
          </w:p>
        </w:tc>
        <w:tc>
          <w:tcPr>
            <w:tcW w:w="14459" w:type="dxa"/>
            <w:vAlign w:val="top"/>
          </w:tcPr>
          <w:p w14:paraId="2FBFB756" w14:textId="12B56D3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Services and Life Sciences</w:t>
            </w:r>
          </w:p>
        </w:tc>
      </w:tr>
    </w:tbl>
    <w:p w14:paraId="77D6601B"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Module Outcomes and Fields of Learning</w:t>
      </w:r>
    </w:p>
    <w:p w14:paraId="7ED621AA" w14:textId="467050DF" w:rsidR="00C65B51" w:rsidRPr="008B6C93" w:rsidRDefault="00000000" w:rsidP="00484777">
      <w:pPr>
        <w:keepNext/>
        <w:spacing w:before="0" w:after="120"/>
        <w:jc w:val="both"/>
        <w:rPr>
          <w:rFonts w:ascii="Arial" w:hAnsi="Arial" w:eastAsia="Arial" w:cs="Arial"/>
          <w:sz w:val="20"/>
          <w:szCs w:val="20"/>
        </w:rPr>
      </w:pPr>
      <w:r>
        <w:rPr>
          <w:rFonts w:ascii="Arial" w:hAnsi="Arial" w:eastAsia="Arial" w:cs="Arial"/>
          <w:sz w:val="20"/>
          <w:szCs w:val="20"/>
        </w:rPr>
        <w:t>The following matrix uses proposed broad-field and subfield classifications. Qualification outcomes are coded EO1 to EO6; detailed outcomes and indicative assessment evidence follow the matrix.</w:t>
      </w:r>
    </w:p>
    <w:p w14:paraId="70B16971" w14:textId="77777777" w:rsidR="00C65B51" w:rsidRPr="008B6C93" w:rsidRDefault="00000000">
      <w:pPr>
        <w:spacing w:before="0" w:after="120"/>
        <w:rPr>
          <w:rFonts w:ascii="Arial" w:hAnsi="Arial" w:eastAsia="Arial" w:cs="Arial"/>
          <w:sz w:val="20"/>
          <w:szCs w:val="20"/>
        </w:rPr>
      </w:pPr>
      <w:r>
        <w:rPr>
          <w:rFonts w:ascii="Arial" w:hAnsi="Arial" w:eastAsia="Arial" w:cs="Arial"/>
          <w:sz w:val="20"/>
          <w:szCs w:val="20"/>
        </w:rPr>
        <w:t>Yr = year; Sem = semester; L = NQF level; Cr = credits; NH = notional hours; CH = contact hours. All ten modules are compulsory and at Level 5.</w:t>
      </w:r>
    </w:p>
    <w:tbl>
      <w:tblPr>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7"/>
        <w:gridCol w:w="1474"/>
        <w:gridCol w:w="425"/>
        <w:gridCol w:w="567"/>
        <w:gridCol w:w="1814"/>
        <w:gridCol w:w="3033"/>
        <w:gridCol w:w="425"/>
        <w:gridCol w:w="425"/>
        <w:gridCol w:w="709"/>
        <w:gridCol w:w="1417"/>
        <w:gridCol w:w="567"/>
        <w:gridCol w:w="1757"/>
        <w:gridCol w:w="1701"/>
      </w:tblGrid>
      <w:tr w:rsidR="00484777" w:rsidRPr="008B6C93" w14:paraId="3EDCF111" w14:textId="77777777" w:rsidTr="008862B1">
        <w:trPr>
          <w:trHeight w:val="1587" w:hRule="atLeas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C3BA02E"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67CD209"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0D928E7F"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Year </w:t>
            </w:r>
            <w:r w:rsidRPr="008B6C93">
              <w:rPr>
                <w:rStyle w:val="FootnoteReference"/>
                <w:rFonts w:ascii="Arial" w:hAnsi="Arial" w:eastAsia="Arial" w:cs="Arial"/>
                <w:b/>
                <w:sz w:val="20"/>
                <w:szCs w:val="20"/>
                <w:lang w:val="en-GB"/>
              </w:rPr>
              <w:footnoteReference w:id="8"/>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4A714ED7"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Semester </w:t>
            </w:r>
            <w:r w:rsidRPr="008B6C93">
              <w:rPr>
                <w:rStyle w:val="FootnoteReference"/>
                <w:rFonts w:ascii="Arial" w:hAnsi="Arial" w:eastAsia="Arial" w:cs="Arial"/>
                <w:b/>
                <w:sz w:val="20"/>
                <w:szCs w:val="20"/>
                <w:lang w:val="en-GB"/>
              </w:rPr>
              <w:footnoteReference w:id="9"/>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77EA6A7D" w14:textId="77777777" w:rsidR="00484777" w:rsidRPr="008B6C93" w:rsidRDefault="00484777"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3033" w:type="dxa"/>
            <w:tcBorders>
              <w:top w:val="single" w:sz="4" w:space="0" w:color="000000"/>
              <w:left w:val="single" w:sz="4" w:space="0" w:color="000000"/>
              <w:bottom w:val="single" w:sz="4" w:space="0" w:color="000000"/>
              <w:right w:val="single" w:sz="4" w:space="0" w:color="000000"/>
            </w:tcBorders>
            <w:shd w:val="clear" w:color="auto" w:fill="D9D9D9"/>
            <w:vAlign w:val="top"/>
          </w:tcPr>
          <w:p w14:paraId="77043C3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Learning Outcomes</w:t>
            </w:r>
            <w:r w:rsidRPr="008B6C93">
              <w:rPr>
                <w:rStyle w:val="FootnoteReference"/>
                <w:rFonts w:ascii="Arial" w:hAnsi="Arial" w:eastAsia="Arial" w:cs="Arial"/>
                <w:b/>
                <w:sz w:val="20"/>
                <w:szCs w:val="20"/>
                <w:lang w:val="en-GB"/>
              </w:rPr>
              <w:footnoteReference w:id="10"/>
            </w:r>
            <w:r w:rsidRPr="008B6C93">
              <w:rPr>
                <w:rStyle w:val="None"/>
                <w:rFonts w:ascii="Arial" w:hAnsi="Arial" w:eastAsia="Arial" w:cs="Arial"/>
                <w:b/>
                <w:sz w:val="20"/>
                <w:szCs w:val="20"/>
                <w:lang w:val="en-GB"/>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7885E429"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NQF Level</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438EFA4C"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709"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5F2503C2"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top"/>
          </w:tcPr>
          <w:p w14:paraId="2A0E14A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793A0E38"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c>
          <w:tcPr>
            <w:tcW w:w="1757" w:type="dxa"/>
            <w:tcBorders>
              <w:top w:val="single" w:sz="4" w:space="0" w:color="000000"/>
              <w:left w:val="single" w:sz="4" w:space="0" w:color="000000"/>
              <w:bottom w:val="single" w:sz="4" w:space="0" w:color="000000"/>
              <w:right w:val="single" w:sz="4" w:space="0" w:color="000000"/>
            </w:tcBorders>
            <w:shd w:val="clear" w:color="auto" w:fill="D9D9D9"/>
            <w:vAlign w:val="top"/>
          </w:tcPr>
          <w:p w14:paraId="43408137"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Field</w:t>
            </w:r>
            <w:r w:rsidRPr="008B6C93">
              <w:rPr>
                <w:rStyle w:val="FootnoteReference"/>
                <w:rFonts w:ascii="Arial" w:hAnsi="Arial" w:eastAsia="Arial" w:cs="Arial"/>
                <w:b/>
                <w:sz w:val="20"/>
                <w:szCs w:val="20"/>
                <w:lang w:val="en-GB"/>
              </w:rPr>
              <w:footnoteReference w:id="11"/>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top"/>
          </w:tcPr>
          <w:p w14:paraId="1CA9F306"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Sub-Field</w:t>
            </w:r>
            <w:r w:rsidRPr="008B6C93">
              <w:rPr>
                <w:rStyle w:val="FootnoteReference"/>
                <w:rFonts w:ascii="Arial" w:hAnsi="Arial" w:eastAsia="Arial" w:cs="Arial"/>
                <w:b/>
                <w:sz w:val="20"/>
                <w:szCs w:val="20"/>
                <w:lang w:val="en-GB"/>
              </w:rPr>
              <w:footnoteReference w:id="12"/>
            </w:r>
            <w:r w:rsidRPr="008B6C93">
              <w:rPr>
                <w:rStyle w:val="None"/>
                <w:rFonts w:ascii="Arial" w:hAnsi="Arial" w:eastAsia="Arial" w:cs="Arial"/>
                <w:b/>
                <w:sz w:val="20"/>
                <w:szCs w:val="20"/>
                <w:lang w:val="en-GB"/>
              </w:rPr>
              <w:t xml:space="preserve"> </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audience and purpose to select an appropriate academic or workplace communication format.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Communication Studies and Language</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English communication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people, processes, data and technology interact in an organisational information system.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Physical, Mathematical and Computer Sciences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Information systems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Disturbed Soils Landforms and Ecosystems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disturbed-land conditions to identify rehabilitation constraints and opportunities.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Requirements and Progressive Rehabilitation Planning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Translate closure objectives and approved requirements into sequenced rehabilitation tasks.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RFTM-5105</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Field Techniques and Measurement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Apply supervised field techniques and produce reliable rehabilitation monitoring records.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SWEM-5206</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Soil Water and Erosion Management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Plan and inspect practical soil and erosion measures within approved specifications.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RFTM-5105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RVEA-5207</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Revegetation and Ecosystem Aftercare</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Prepare a revegetation and aftercare programme suited to a defined rehabilitation objective.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RFTM-5105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CSRP-5208</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 Stakeholder Relations and Resource Planning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Prepare transparent stakeholder and resource arrangements for a rehabilitation work package.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RCVA-5209</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Rehabilitation Completion Verification and Aftercare</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Assess rehabilitation evidence against agreed criteria and recommend aftercare actions.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 RFTM-5105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IRCP-5210</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Rehabilitation and Closure Project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Produce a justified rehabilitation and closure implementation proposal for a defined mine area.</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CRPP-5104, RFTM-5105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Agriculture and Nature Conservation</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Mine Rehabilitation and Closure</w:t>
            </w:r>
          </w:p>
        </w:tc>
      </w:tr>
    </w:tbl>
    <w:p w14:paraId="5E53A1A1" w14:textId="77777777" w:rsidR="00FF096D" w:rsidRPr="008B6C93" w:rsidRDefault="00FF096D">
      <w:pPr>
        <w:spacing w:before="0" w:after="120"/>
        <w:rPr>
          <w:rFonts w:ascii="Arial" w:hAnsi="Arial" w:eastAsia="Arial" w:cs="Arial"/>
          <w:sz w:val="20"/>
          <w:szCs w:val="20"/>
        </w:rPr>
        <w:sectPr w:rsidR="00FF096D" w:rsidRPr="008B6C93">
          <w:pgSz w:w="16838" w:h="11906" w:orient="landscape"/>
          <w:pgMar w:top="850" w:right="907" w:bottom="850" w:left="907" w:header="397" w:footer="397" w:gutter="0"/>
          <w:cols w:space="720"/>
          <w:docGrid w:linePitch="360"/>
        </w:sectPr>
      </w:pPr>
    </w:p>
    <w:p w14:paraId="61A0489C" w14:textId="6E27D45E" w:rsidR="00FF096D" w:rsidRPr="008B6C93" w:rsidRDefault="00FF096D">
      <w:pPr>
        <w:keepNext/>
        <w:spacing w:before="0" w:after="120"/>
        <w:rPr>
          <w:rFonts w:ascii="Arial" w:hAnsi="Arial" w:eastAsia="Arial" w:cs="Arial"/>
          <w:b/>
          <w:bCs/>
          <w:sz w:val="20"/>
          <w:szCs w:val="20"/>
        </w:rPr>
      </w:pPr>
      <w:r w:rsidRPr="008B6C93">
        <w:rPr>
          <w:rFonts w:ascii="Arial" w:hAnsi="Arial" w:eastAsia="Arial" w:cs="Arial"/>
          <w:b/>
          <w:bCs/>
          <w:sz w:val="20"/>
          <w:szCs w:val="20"/>
        </w:rPr>
        <w:t>Detailed</w:t>
      </w:r>
      <w:r w:rsidR="00594976" w:rsidRPr="008B6C93">
        <w:rPr>
          <w:rFonts w:ascii="Arial" w:hAnsi="Arial" w:eastAsia="Arial" w:cs="Arial"/>
          <w:b/>
          <w:bCs/>
          <w:sz w:val="20"/>
          <w:szCs w:val="20"/>
        </w:rPr>
        <w:t xml:space="preserve"> Outcomes of Learning </w:t>
      </w:r>
    </w:p>
    <w:tbl>
      <w:tblPr>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1474"/>
        <w:gridCol w:w="1814"/>
        <w:gridCol w:w="3685"/>
        <w:gridCol w:w="1247"/>
        <w:gridCol w:w="850"/>
        <w:gridCol w:w="992"/>
      </w:tblGrid>
      <w:tr w:rsidR="00374014" w:rsidRPr="008B6C93" w14:paraId="3C18A14A" w14:textId="0FD14FEE" w:rsidTr="00374014">
        <w:trPr>
          <w:tblHeader/>
        </w:trPr>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D0E66DB"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Code </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0C8CC5C4"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Course Title </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top"/>
          </w:tcPr>
          <w:p w14:paraId="0F8B9A64"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Outcomes of Learning</w:t>
            </w:r>
          </w:p>
          <w:p w14:paraId="79AEABEA" w14:textId="77777777" w:rsidR="00374014" w:rsidRPr="008B6C93" w:rsidRDefault="00374014" w:rsidP="008862B1">
            <w:pPr>
              <w:keepNext/>
              <w:spacing w:line="240" w:lineRule="auto" w:before="0" w:after="0"/>
              <w:contextualSpacing/>
              <w:jc w:val="left"/>
              <w:rPr>
                <w:rFonts w:ascii="Arial" w:hAnsi="Arial" w:eastAsia="Arial" w:cs="Arial"/>
                <w:i/>
                <w:iCs/>
                <w:sz w:val="20"/>
                <w:szCs w:val="20"/>
              </w:rPr>
            </w:pPr>
            <w:r w:rsidRPr="008B6C93">
              <w:rPr>
                <w:rFonts w:ascii="Arial" w:hAnsi="Arial" w:eastAsia="Arial" w:cs="Arial"/>
                <w:b/>
                <w:i/>
                <w:iCs/>
                <w:sz w:val="20"/>
                <w:szCs w:val="20"/>
              </w:rPr>
              <w:t>Upon completing the course, students will be able to: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D063C0D"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Pre-</w:t>
            </w:r>
          </w:p>
          <w:p w14:paraId="333A84EE"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szCs w:val="20"/>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670A7FDE"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18D84696"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Credits</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ECAW-5101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English for Communication and Academic Writing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audience and purpose to select an appropriate academic or workplace communication format.</w:t>
            </w:r>
          </w:p>
          <w:p>
            <w:pPr>
              <w:tabs>
                <w:tab w:pos="170" w:val="left"/>
              </w:tabs>
              <w:spacing w:before="0" w:after="0"/>
              <w:ind w:left="170" w:hanging="170"/>
            </w:pPr>
            <w:r>
              <w:rPr>
                <w:rFonts w:ascii="Arial" w:hAnsi="Arial" w:eastAsia="Arial" w:cs="Arial"/>
                <w:b w:val="0"/>
                <w:sz w:val="20"/>
                <w:szCs w:val="20"/>
              </w:rPr>
              <w:t>•</w:t>
              <w:tab/>
              <w:t>Locate and appraise sources using relevance, authority and corroboration checks.</w:t>
            </w:r>
          </w:p>
          <w:p>
            <w:pPr>
              <w:tabs>
                <w:tab w:pos="170" w:val="left"/>
              </w:tabs>
              <w:spacing w:before="0" w:after="0"/>
              <w:ind w:left="170" w:hanging="170"/>
            </w:pPr>
            <w:r>
              <w:rPr>
                <w:rFonts w:ascii="Arial" w:hAnsi="Arial" w:eastAsia="Arial" w:cs="Arial"/>
                <w:b w:val="0"/>
                <w:sz w:val="20"/>
                <w:szCs w:val="20"/>
              </w:rPr>
              <w:t>•</w:t>
              <w:tab/>
              <w:t>Construct a supported argument using accurate paragraph structure, evidence and consistent referencing.</w:t>
            </w:r>
          </w:p>
          <w:p>
            <w:pPr>
              <w:tabs>
                <w:tab w:pos="170" w:val="left"/>
              </w:tabs>
              <w:spacing w:before="0" w:after="0"/>
              <w:ind w:left="170" w:hanging="170"/>
            </w:pPr>
            <w:r>
              <w:rPr>
                <w:rFonts w:ascii="Arial" w:hAnsi="Arial" w:eastAsia="Arial" w:cs="Arial"/>
                <w:b w:val="0"/>
                <w:sz w:val="20"/>
                <w:szCs w:val="20"/>
              </w:rPr>
              <w:t>•</w:t>
              <w:tab/>
              <w:t>Deliver an accessible oral briefing and respond to questions using relevant evidence.</w:t>
            </w:r>
          </w:p>
          <w:p>
            <w:pPr>
              <w:tabs>
                <w:tab w:pos="170" w:val="left"/>
              </w:tabs>
              <w:spacing w:before="0" w:after="0"/>
              <w:ind w:left="170" w:hanging="170"/>
            </w:pPr>
            <w:r>
              <w:rPr>
                <w:rFonts w:ascii="Arial" w:hAnsi="Arial" w:eastAsia="Arial" w:cs="Arial"/>
                <w:b w:val="0"/>
                <w:sz w:val="20"/>
                <w:szCs w:val="20"/>
              </w:rPr>
              <w:t>•</w:t>
              <w:tab/>
              <w:t>Edit a report for clarity, grammar and ethical attribution, declaring any permitted AI assistance.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PISY-5102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Principles of Information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people, processes, data and technology interact in an organisational information system.</w:t>
            </w:r>
          </w:p>
          <w:p>
            <w:pPr>
              <w:tabs>
                <w:tab w:pos="170" w:val="left"/>
              </w:tabs>
              <w:spacing w:before="0" w:after="0"/>
              <w:ind w:left="170" w:hanging="170"/>
            </w:pPr>
            <w:r>
              <w:rPr>
                <w:rFonts w:ascii="Arial" w:hAnsi="Arial" w:eastAsia="Arial" w:cs="Arial"/>
                <w:b w:val="0"/>
                <w:sz w:val="20"/>
                <w:szCs w:val="20"/>
              </w:rPr>
              <w:t>•</w:t>
              <w:tab/>
              <w:t>Organise and analyse a small dataset using a spreadsheet and document its quality checks.</w:t>
            </w:r>
          </w:p>
          <w:p>
            <w:pPr>
              <w:tabs>
                <w:tab w:pos="170" w:val="left"/>
              </w:tabs>
              <w:spacing w:before="0" w:after="0"/>
              <w:ind w:left="170" w:hanging="170"/>
            </w:pPr>
            <w:r>
              <w:rPr>
                <w:rFonts w:ascii="Arial" w:hAnsi="Arial" w:eastAsia="Arial" w:cs="Arial"/>
                <w:b w:val="0"/>
                <w:sz w:val="20"/>
                <w:szCs w:val="20"/>
              </w:rPr>
              <w:t>•</w:t>
              <w:tab/>
              <w:t>Evaluate digital information and AI-generated outputs by checking provenance, evidence, bias and fitness for purpose.</w:t>
            </w:r>
          </w:p>
          <w:p>
            <w:pPr>
              <w:tabs>
                <w:tab w:pos="170" w:val="left"/>
              </w:tabs>
              <w:spacing w:before="0" w:after="0"/>
              <w:ind w:left="170" w:hanging="170"/>
            </w:pPr>
            <w:r>
              <w:rPr>
                <w:rFonts w:ascii="Arial" w:hAnsi="Arial" w:eastAsia="Arial" w:cs="Arial"/>
                <w:b w:val="0"/>
                <w:sz w:val="20"/>
                <w:szCs w:val="20"/>
              </w:rPr>
              <w:t>•</w:t>
              <w:tab/>
              <w:t>Apply cybersecurity controls in a training environment, including secure authentication, phishing recognition, updates, backups and incident reporting.</w:t>
            </w:r>
          </w:p>
          <w:p>
            <w:pPr>
              <w:tabs>
                <w:tab w:pos="170" w:val="left"/>
              </w:tabs>
              <w:spacing w:before="0" w:after="0"/>
              <w:ind w:left="170" w:hanging="170"/>
            </w:pPr>
            <w:r>
              <w:rPr>
                <w:rFonts w:ascii="Arial" w:hAnsi="Arial" w:eastAsia="Arial" w:cs="Arial"/>
                <w:b w:val="0"/>
                <w:sz w:val="20"/>
                <w:szCs w:val="20"/>
              </w:rPr>
              <w:t>•</w:t>
              <w:tab/>
              <w:t>Propose a responsible information-system improvement that protects personal information and records human accountability for AI-assisted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DSLE-5103</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Disturbed Soils Landforms and Ecosystems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relationships between soil properties, landform processes and ecosystem recovery.</w:t>
            </w:r>
          </w:p>
          <w:p>
            <w:pPr>
              <w:tabs>
                <w:tab w:pos="170" w:val="left"/>
              </w:tabs>
              <w:spacing w:before="0" w:after="0"/>
              <w:ind w:left="170" w:hanging="170"/>
            </w:pPr>
            <w:r>
              <w:rPr>
                <w:rFonts w:ascii="Arial" w:hAnsi="Arial" w:eastAsia="Arial" w:cs="Arial"/>
                <w:b w:val="0"/>
                <w:sz w:val="20"/>
                <w:szCs w:val="20"/>
              </w:rPr>
              <w:t>•</w:t>
              <w:tab/>
              <w:t>Describe site disturbance using maps, observations and supplied baseline information.</w:t>
            </w:r>
          </w:p>
          <w:p>
            <w:pPr>
              <w:tabs>
                <w:tab w:pos="170" w:val="left"/>
              </w:tabs>
              <w:spacing w:before="0" w:after="0"/>
              <w:ind w:left="170" w:hanging="170"/>
            </w:pPr>
            <w:r>
              <w:rPr>
                <w:rFonts w:ascii="Arial" w:hAnsi="Arial" w:eastAsia="Arial" w:cs="Arial"/>
                <w:b w:val="0"/>
                <w:sz w:val="20"/>
                <w:szCs w:val="20"/>
              </w:rPr>
              <w:t>•</w:t>
              <w:tab/>
              <w:t>Interpret basic soil and drainage results with appropriate limitations.</w:t>
            </w:r>
          </w:p>
          <w:p>
            <w:pPr>
              <w:tabs>
                <w:tab w:pos="170" w:val="left"/>
              </w:tabs>
              <w:spacing w:before="0" w:after="0"/>
              <w:ind w:left="170" w:hanging="170"/>
            </w:pPr>
            <w:r>
              <w:rPr>
                <w:rFonts w:ascii="Arial" w:hAnsi="Arial" w:eastAsia="Arial" w:cs="Arial"/>
                <w:b w:val="0"/>
                <w:sz w:val="20"/>
                <w:szCs w:val="20"/>
              </w:rPr>
              <w:t>•</w:t>
              <w:tab/>
              <w:t>Prioritise conditions that require specialist investigation before rehabilitation work.</w:t>
            </w:r>
          </w:p>
          <w:p>
            <w:pPr>
              <w:tabs>
                <w:tab w:pos="170" w:val="left"/>
              </w:tabs>
              <w:spacing w:before="0" w:after="0"/>
              <w:ind w:left="170" w:hanging="170"/>
            </w:pPr>
            <w:r>
              <w:rPr>
                <w:rFonts w:ascii="Arial" w:hAnsi="Arial" w:eastAsia="Arial" w:cs="Arial"/>
                <w:b w:val="0"/>
                <w:sz w:val="20"/>
                <w:szCs w:val="20"/>
              </w:rPr>
              <w:t>•</w:t>
              <w:tab/>
              <w:t>Compare feasible rehabilitation approaches against the identified site constraints and reference conditions.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CRPP-5104</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Closure Requirements and Progressive Rehabilitation Planning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the roles of operators, regulators, specialists and affected communities in closure.</w:t>
            </w:r>
          </w:p>
          <w:p>
            <w:pPr>
              <w:tabs>
                <w:tab w:pos="170" w:val="left"/>
              </w:tabs>
              <w:spacing w:before="0" w:after="0"/>
              <w:ind w:left="170" w:hanging="170"/>
            </w:pPr>
            <w:r>
              <w:rPr>
                <w:rFonts w:ascii="Arial" w:hAnsi="Arial" w:eastAsia="Arial" w:cs="Arial"/>
                <w:b w:val="0"/>
                <w:sz w:val="20"/>
                <w:szCs w:val="20"/>
              </w:rPr>
              <w:t>•</w:t>
              <w:tab/>
              <w:t>Interpret closure objectives and constraints in supplied plans and authorisations.</w:t>
            </w:r>
          </w:p>
          <w:p>
            <w:pPr>
              <w:tabs>
                <w:tab w:pos="170" w:val="left"/>
              </w:tabs>
              <w:spacing w:before="0" w:after="0"/>
              <w:ind w:left="170" w:hanging="170"/>
            </w:pPr>
            <w:r>
              <w:rPr>
                <w:rFonts w:ascii="Arial" w:hAnsi="Arial" w:eastAsia="Arial" w:cs="Arial"/>
                <w:b w:val="0"/>
                <w:sz w:val="20"/>
                <w:szCs w:val="20"/>
              </w:rPr>
              <w:t>•</w:t>
              <w:tab/>
              <w:t>Develop a progressive rehabilitation schedule with dependencies and responsible persons.</w:t>
            </w:r>
          </w:p>
          <w:p>
            <w:pPr>
              <w:tabs>
                <w:tab w:pos="170" w:val="left"/>
              </w:tabs>
              <w:spacing w:before="0" w:after="0"/>
              <w:ind w:left="170" w:hanging="170"/>
            </w:pPr>
            <w:r>
              <w:rPr>
                <w:rFonts w:ascii="Arial" w:hAnsi="Arial" w:eastAsia="Arial" w:cs="Arial"/>
                <w:b w:val="0"/>
                <w:sz w:val="20"/>
                <w:szCs w:val="20"/>
              </w:rPr>
              <w:t>•</w:t>
              <w:tab/>
              <w:t>Select measurable completion criteria that can be checked using accessible evidence.</w:t>
            </w:r>
          </w:p>
          <w:p>
            <w:pPr>
              <w:tabs>
                <w:tab w:pos="170" w:val="left"/>
              </w:tabs>
              <w:spacing w:before="0" w:after="0"/>
              <w:ind w:left="170" w:hanging="170"/>
            </w:pPr>
            <w:r>
              <w:rPr>
                <w:rFonts w:ascii="Arial" w:hAnsi="Arial" w:eastAsia="Arial" w:cs="Arial"/>
                <w:b w:val="0"/>
                <w:sz w:val="20"/>
                <w:szCs w:val="20"/>
              </w:rPr>
              <w:t>•</w:t>
              <w:tab/>
              <w:t>Identify assumptions, information gaps and approval dependencies that could alter the rehabilitation sequence.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RFTM-5105</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Rehabilitation Field Techniques and Measurement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Select safe methods for field measurement and sample collection.</w:t>
            </w:r>
          </w:p>
          <w:p>
            <w:pPr>
              <w:tabs>
                <w:tab w:pos="170" w:val="left"/>
              </w:tabs>
              <w:spacing w:before="0" w:after="0"/>
              <w:ind w:left="170" w:hanging="170"/>
            </w:pPr>
            <w:r>
              <w:rPr>
                <w:rFonts w:ascii="Arial" w:hAnsi="Arial" w:eastAsia="Arial" w:cs="Arial"/>
                <w:b w:val="0"/>
                <w:sz w:val="20"/>
                <w:szCs w:val="20"/>
              </w:rPr>
              <w:t>•</w:t>
              <w:tab/>
              <w:t>Record soil, cover, erosion and vegetation observations using consistent protocols.</w:t>
            </w:r>
          </w:p>
          <w:p>
            <w:pPr>
              <w:tabs>
                <w:tab w:pos="170" w:val="left"/>
              </w:tabs>
              <w:spacing w:before="0" w:after="0"/>
              <w:ind w:left="170" w:hanging="170"/>
            </w:pPr>
            <w:r>
              <w:rPr>
                <w:rFonts w:ascii="Arial" w:hAnsi="Arial" w:eastAsia="Arial" w:cs="Arial"/>
                <w:b w:val="0"/>
                <w:sz w:val="20"/>
                <w:szCs w:val="20"/>
              </w:rPr>
              <w:t>•</w:t>
              <w:tab/>
              <w:t>Check instruments, units and records for common measurement errors.</w:t>
            </w:r>
          </w:p>
          <w:p>
            <w:pPr>
              <w:tabs>
                <w:tab w:pos="170" w:val="left"/>
              </w:tabs>
              <w:spacing w:before="0" w:after="0"/>
              <w:ind w:left="170" w:hanging="170"/>
            </w:pPr>
            <w:r>
              <w:rPr>
                <w:rFonts w:ascii="Arial" w:hAnsi="Arial" w:eastAsia="Arial" w:cs="Arial"/>
                <w:b w:val="0"/>
                <w:sz w:val="20"/>
                <w:szCs w:val="20"/>
              </w:rPr>
              <w:t>•</w:t>
              <w:tab/>
              <w:t>Analyse baseline and repeat observations to identify significant management concerns.</w:t>
            </w:r>
          </w:p>
          <w:p>
            <w:pPr>
              <w:tabs>
                <w:tab w:pos="170" w:val="left"/>
              </w:tabs>
              <w:spacing w:before="0" w:after="0"/>
              <w:ind w:left="170" w:hanging="170"/>
            </w:pPr>
            <w:r>
              <w:rPr>
                <w:rFonts w:ascii="Arial" w:hAnsi="Arial" w:eastAsia="Arial" w:cs="Arial"/>
                <w:b w:val="0"/>
                <w:sz w:val="20"/>
                <w:szCs w:val="20"/>
              </w:rPr>
              <w:t>•</w:t>
              <w:tab/>
              <w:t>Recommend repeat observations or corrective sampling when records do not support a reliable interpretation.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SWEM-5206</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Soil Water and Erosion Management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Compare soil handling and storage options for a disturbed site.</w:t>
            </w:r>
          </w:p>
          <w:p>
            <w:pPr>
              <w:tabs>
                <w:tab w:pos="170" w:val="left"/>
              </w:tabs>
              <w:spacing w:before="0" w:after="0"/>
              <w:ind w:left="170" w:hanging="170"/>
            </w:pPr>
            <w:r>
              <w:rPr>
                <w:rFonts w:ascii="Arial" w:hAnsi="Arial" w:eastAsia="Arial" w:cs="Arial"/>
                <w:b w:val="0"/>
                <w:sz w:val="20"/>
                <w:szCs w:val="20"/>
              </w:rPr>
              <w:t>•</w:t>
              <w:tab/>
              <w:t>Interpret drainage and erosion risks from supplied site information.</w:t>
            </w:r>
          </w:p>
          <w:p>
            <w:pPr>
              <w:tabs>
                <w:tab w:pos="170" w:val="left"/>
              </w:tabs>
              <w:spacing w:before="0" w:after="0"/>
              <w:ind w:left="170" w:hanging="170"/>
            </w:pPr>
            <w:r>
              <w:rPr>
                <w:rFonts w:ascii="Arial" w:hAnsi="Arial" w:eastAsia="Arial" w:cs="Arial"/>
                <w:b w:val="0"/>
                <w:sz w:val="20"/>
                <w:szCs w:val="20"/>
              </w:rPr>
              <w:t>•</w:t>
              <w:tab/>
              <w:t>Select practical controls consistent with approved designs and environmental constraints.</w:t>
            </w:r>
          </w:p>
          <w:p>
            <w:pPr>
              <w:tabs>
                <w:tab w:pos="170" w:val="left"/>
              </w:tabs>
              <w:spacing w:before="0" w:after="0"/>
              <w:ind w:left="170" w:hanging="170"/>
            </w:pPr>
            <w:r>
              <w:rPr>
                <w:rFonts w:ascii="Arial" w:hAnsi="Arial" w:eastAsia="Arial" w:cs="Arial"/>
                <w:b w:val="0"/>
                <w:sz w:val="20"/>
                <w:szCs w:val="20"/>
              </w:rPr>
              <w:t>•</w:t>
              <w:tab/>
              <w:t>Prepare an inspection and maintenance schedule with escalation thresholds.</w:t>
            </w:r>
          </w:p>
          <w:p>
            <w:pPr>
              <w:tabs>
                <w:tab w:pos="170" w:val="left"/>
              </w:tabs>
              <w:spacing w:before="0" w:after="0"/>
              <w:ind w:left="170" w:hanging="170"/>
            </w:pPr>
            <w:r>
              <w:rPr>
                <w:rFonts w:ascii="Arial" w:hAnsi="Arial" w:eastAsia="Arial" w:cs="Arial"/>
                <w:b w:val="0"/>
                <w:sz w:val="20"/>
                <w:szCs w:val="20"/>
              </w:rPr>
              <w:t>•</w:t>
              <w:tab/>
              <w:t>Evaluate inspection evidence to recommend maintenance or specialist review without changing approved designs.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DSLE-5103, RFTM-5105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RVEA-5207</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Revegetation and Ecosystem Aftercare</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Select locally appropriate vegetation strategies using site and reference information.</w:t>
            </w:r>
          </w:p>
          <w:p>
            <w:pPr>
              <w:tabs>
                <w:tab w:pos="170" w:val="left"/>
              </w:tabs>
              <w:spacing w:before="0" w:after="0"/>
              <w:ind w:left="170" w:hanging="170"/>
            </w:pPr>
            <w:r>
              <w:rPr>
                <w:rFonts w:ascii="Arial" w:hAnsi="Arial" w:eastAsia="Arial" w:cs="Arial"/>
                <w:b w:val="0"/>
                <w:sz w:val="20"/>
                <w:szCs w:val="20"/>
              </w:rPr>
              <w:t>•</w:t>
              <w:tab/>
              <w:t>Plan establishment activities that account for water availability and seasonal conditions.</w:t>
            </w:r>
          </w:p>
          <w:p>
            <w:pPr>
              <w:tabs>
                <w:tab w:pos="170" w:val="left"/>
              </w:tabs>
              <w:spacing w:before="0" w:after="0"/>
              <w:ind w:left="170" w:hanging="170"/>
            </w:pPr>
            <w:r>
              <w:rPr>
                <w:rFonts w:ascii="Arial" w:hAnsi="Arial" w:eastAsia="Arial" w:cs="Arial"/>
                <w:b w:val="0"/>
                <w:sz w:val="20"/>
                <w:szCs w:val="20"/>
              </w:rPr>
              <w:t>•</w:t>
              <w:tab/>
              <w:t>Analyse establishment and survival records against agreed criteria.</w:t>
            </w:r>
          </w:p>
          <w:p>
            <w:pPr>
              <w:tabs>
                <w:tab w:pos="170" w:val="left"/>
              </w:tabs>
              <w:spacing w:before="0" w:after="0"/>
              <w:ind w:left="170" w:hanging="170"/>
            </w:pPr>
            <w:r>
              <w:rPr>
                <w:rFonts w:ascii="Arial" w:hAnsi="Arial" w:eastAsia="Arial" w:cs="Arial"/>
                <w:b w:val="0"/>
                <w:sz w:val="20"/>
                <w:szCs w:val="20"/>
              </w:rPr>
              <w:t>•</w:t>
              <w:tab/>
              <w:t>Recommend bounded adjustments to aftercare and invasive-species controls.</w:t>
            </w:r>
          </w:p>
          <w:p>
            <w:pPr>
              <w:tabs>
                <w:tab w:pos="170" w:val="left"/>
              </w:tabs>
              <w:spacing w:before="0" w:after="0"/>
              <w:ind w:left="170" w:hanging="170"/>
            </w:pPr>
            <w:r>
              <w:rPr>
                <w:rFonts w:ascii="Arial" w:hAnsi="Arial" w:eastAsia="Arial" w:cs="Arial"/>
                <w:b w:val="0"/>
                <w:sz w:val="20"/>
                <w:szCs w:val="20"/>
              </w:rPr>
              <w:t>•</w:t>
              <w:tab/>
              <w:t>Justify changes to a revegetation schedule using monitoring evidence and documented ecological constraints.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DSLE-5103, RFTM-5105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CSRP-5208</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Closure Stakeholder Relations and Resource Planning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Identify stakeholder interests and distinguish consultation from consent or approval.</w:t>
            </w:r>
          </w:p>
          <w:p>
            <w:pPr>
              <w:tabs>
                <w:tab w:pos="170" w:val="left"/>
              </w:tabs>
              <w:spacing w:before="0" w:after="0"/>
              <w:ind w:left="170" w:hanging="170"/>
            </w:pPr>
            <w:r>
              <w:rPr>
                <w:rFonts w:ascii="Arial" w:hAnsi="Arial" w:eastAsia="Arial" w:cs="Arial"/>
                <w:b w:val="0"/>
                <w:sz w:val="20"/>
                <w:szCs w:val="20"/>
              </w:rPr>
              <w:t>•</w:t>
              <w:tab/>
              <w:t>Prepare accessible consultation materials and an accurate response register.</w:t>
            </w:r>
          </w:p>
          <w:p>
            <w:pPr>
              <w:tabs>
                <w:tab w:pos="170" w:val="left"/>
              </w:tabs>
              <w:spacing w:before="0" w:after="0"/>
              <w:ind w:left="170" w:hanging="170"/>
            </w:pPr>
            <w:r>
              <w:rPr>
                <w:rFonts w:ascii="Arial" w:hAnsi="Arial" w:eastAsia="Arial" w:cs="Arial"/>
                <w:b w:val="0"/>
                <w:sz w:val="20"/>
                <w:szCs w:val="20"/>
              </w:rPr>
              <w:t>•</w:t>
              <w:tab/>
              <w:t>Estimate labour, materials and costs from a specified rehabilitation work package.</w:t>
            </w:r>
          </w:p>
          <w:p>
            <w:pPr>
              <w:tabs>
                <w:tab w:pos="170" w:val="left"/>
              </w:tabs>
              <w:spacing w:before="0" w:after="0"/>
              <w:ind w:left="170" w:hanging="170"/>
            </w:pPr>
            <w:r>
              <w:rPr>
                <w:rFonts w:ascii="Arial" w:hAnsi="Arial" w:eastAsia="Arial" w:cs="Arial"/>
                <w:b w:val="0"/>
                <w:sz w:val="20"/>
                <w:szCs w:val="20"/>
              </w:rPr>
              <w:t>•</w:t>
              <w:tab/>
              <w:t>Schedule resources and reporting points while recording uncertainty and dependencies.</w:t>
            </w:r>
          </w:p>
          <w:p>
            <w:pPr>
              <w:tabs>
                <w:tab w:pos="170" w:val="left"/>
              </w:tabs>
              <w:spacing w:before="0" w:after="0"/>
              <w:ind w:left="170" w:hanging="170"/>
            </w:pPr>
            <w:r>
              <w:rPr>
                <w:rFonts w:ascii="Arial" w:hAnsi="Arial" w:eastAsia="Arial" w:cs="Arial"/>
                <w:b w:val="0"/>
                <w:sz w:val="20"/>
                <w:szCs w:val="20"/>
              </w:rPr>
              <w:t>•</w:t>
              <w:tab/>
              <w:t>Explain the effects of resource constraints and stakeholder concerns on delivery priorities without making unsupported commitments.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CRPP-5104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RCVA-5209</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Rehabilitation Completion Verification and Aftercare</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Construct a verification checklist from approved completion criteria.</w:t>
            </w:r>
          </w:p>
          <w:p>
            <w:pPr>
              <w:tabs>
                <w:tab w:pos="170" w:val="left"/>
              </w:tabs>
              <w:spacing w:before="0" w:after="0"/>
              <w:ind w:left="170" w:hanging="170"/>
            </w:pPr>
            <w:r>
              <w:rPr>
                <w:rFonts w:ascii="Arial" w:hAnsi="Arial" w:eastAsia="Arial" w:cs="Arial"/>
                <w:b w:val="0"/>
                <w:sz w:val="20"/>
                <w:szCs w:val="20"/>
              </w:rPr>
              <w:t>•</w:t>
              <w:tab/>
              <w:t>Evaluate monitoring evidence for completeness, reliability and remaining risk.</w:t>
            </w:r>
          </w:p>
          <w:p>
            <w:pPr>
              <w:tabs>
                <w:tab w:pos="170" w:val="left"/>
              </w:tabs>
              <w:spacing w:before="0" w:after="0"/>
              <w:ind w:left="170" w:hanging="170"/>
            </w:pPr>
            <w:r>
              <w:rPr>
                <w:rFonts w:ascii="Arial" w:hAnsi="Arial" w:eastAsia="Arial" w:cs="Arial"/>
                <w:b w:val="0"/>
                <w:sz w:val="20"/>
                <w:szCs w:val="20"/>
              </w:rPr>
              <w:t>•</w:t>
              <w:tab/>
              <w:t>Distinguish achieved criteria from unresolved issues and longer-term obligations.</w:t>
            </w:r>
          </w:p>
          <w:p>
            <w:pPr>
              <w:tabs>
                <w:tab w:pos="170" w:val="left"/>
              </w:tabs>
              <w:spacing w:before="0" w:after="0"/>
              <w:ind w:left="170" w:hanging="170"/>
            </w:pPr>
            <w:r>
              <w:rPr>
                <w:rFonts w:ascii="Arial" w:hAnsi="Arial" w:eastAsia="Arial" w:cs="Arial"/>
                <w:b w:val="0"/>
                <w:sz w:val="20"/>
                <w:szCs w:val="20"/>
              </w:rPr>
              <w:t>•</w:t>
              <w:tab/>
              <w:t>Prepare an aftercare and handover report without asserting regulatory relinquishment.</w:t>
            </w:r>
          </w:p>
          <w:p>
            <w:pPr>
              <w:tabs>
                <w:tab w:pos="170" w:val="left"/>
              </w:tabs>
              <w:spacing w:before="0" w:after="0"/>
              <w:ind w:left="170" w:hanging="170"/>
            </w:pPr>
            <w:r>
              <w:rPr>
                <w:rFonts w:ascii="Arial" w:hAnsi="Arial" w:eastAsia="Arial" w:cs="Arial"/>
                <w:b w:val="0"/>
                <w:sz w:val="20"/>
                <w:szCs w:val="20"/>
              </w:rPr>
              <w:t>•</w:t>
              <w:tab/>
              <w:t>Recommend further monitoring where the evidence is insufficient to conclude that a completion criterion has been met.</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CRPP-5104, RFTM-5105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IRCP-5210</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Integrated Rehabilitation and Closure Project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site constraints and compare feasible rehabilitation options.</w:t>
            </w:r>
          </w:p>
          <w:p>
            <w:pPr>
              <w:tabs>
                <w:tab w:pos="170" w:val="left"/>
              </w:tabs>
              <w:spacing w:before="0" w:after="0"/>
              <w:ind w:left="170" w:hanging="170"/>
            </w:pPr>
            <w:r>
              <w:rPr>
                <w:rFonts w:ascii="Arial" w:hAnsi="Arial" w:eastAsia="Arial" w:cs="Arial"/>
                <w:b w:val="0"/>
                <w:sz w:val="20"/>
                <w:szCs w:val="20"/>
              </w:rPr>
              <w:t>•</w:t>
              <w:tab/>
              <w:t>Prepare a sequenced work plan with resource estimates and safety controls.</w:t>
            </w:r>
          </w:p>
          <w:p>
            <w:pPr>
              <w:tabs>
                <w:tab w:pos="170" w:val="left"/>
              </w:tabs>
              <w:spacing w:before="0" w:after="0"/>
              <w:ind w:left="170" w:hanging="170"/>
            </w:pPr>
            <w:r>
              <w:rPr>
                <w:rFonts w:ascii="Arial" w:hAnsi="Arial" w:eastAsia="Arial" w:cs="Arial"/>
                <w:b w:val="0"/>
                <w:sz w:val="20"/>
                <w:szCs w:val="20"/>
              </w:rPr>
              <w:t>•</w:t>
              <w:tab/>
              <w:t>Integrate monitoring, stakeholder records and completion criteria.</w:t>
            </w:r>
          </w:p>
          <w:p>
            <w:pPr>
              <w:tabs>
                <w:tab w:pos="170" w:val="left"/>
              </w:tabs>
              <w:spacing w:before="0" w:after="0"/>
              <w:ind w:left="170" w:hanging="170"/>
            </w:pPr>
            <w:r>
              <w:rPr>
                <w:rFonts w:ascii="Arial" w:hAnsi="Arial" w:eastAsia="Arial" w:cs="Arial"/>
                <w:b w:val="0"/>
                <w:sz w:val="20"/>
                <w:szCs w:val="20"/>
              </w:rPr>
              <w:t>•</w:t>
              <w:tab/>
              <w:t>Defend the proposal using traceable evidence and revise weaknesses identified in review.</w:t>
            </w:r>
          </w:p>
          <w:p>
            <w:pPr>
              <w:tabs>
                <w:tab w:pos="170" w:val="left"/>
              </w:tabs>
              <w:spacing w:before="0" w:after="0"/>
              <w:ind w:left="170" w:hanging="170"/>
            </w:pPr>
            <w:r>
              <w:rPr>
                <w:rFonts w:ascii="Arial" w:hAnsi="Arial" w:eastAsia="Arial" w:cs="Arial"/>
                <w:b w:val="0"/>
                <w:sz w:val="20"/>
                <w:szCs w:val="20"/>
              </w:rPr>
              <w:t>•</w:t>
              <w:tab/>
              <w:t>Evaluate residual environmental and social risks and identify decisions requiring specialist or regulatory determination.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DSLE-5103, CRPP-5104, RFTM-5105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16</w:t>
            </w:r>
          </w:p>
        </w:tc>
      </w:tr>
    </w:tbl>
    <w:p w14:paraId="0CCA4BE6" w14:textId="7C3A3F6E" w:rsidR="00FF096D" w:rsidRPr="008B6C93" w:rsidRDefault="00FF096D">
      <w:pPr>
        <w:spacing w:before="0" w:after="120"/>
        <w:rPr>
          <w:rFonts w:ascii="Arial" w:hAnsi="Arial" w:eastAsia="Arial" w:cs="Arial"/>
          <w:sz w:val="20"/>
          <w:szCs w:val="20"/>
        </w:rPr>
        <w:sectPr w:rsidR="00FF096D" w:rsidRPr="008B6C93" w:rsidSect="00374014">
          <w:pgSz w:w="11906" w:h="16838"/>
          <w:pgMar w:top="907" w:right="850" w:bottom="907" w:left="850" w:header="397" w:footer="397" w:gutter="0"/>
          <w:cols w:space="720"/>
          <w:docGrid w:linePitch="360"/>
        </w:sectPr>
      </w:pPr>
      <w:r w:rsidRPr="008B6C93">
        <w:rPr>
          <w:rFonts w:ascii="Arial" w:hAnsi="Arial" w:eastAsia="Arial" w:cs="Arial"/>
          <w:sz w:val="20"/>
          <w:szCs w:val="20"/>
        </w:rPr>
        <w:t xml:space="preserve"> </w:t>
      </w:r>
    </w:p>
    <w:p w14:paraId="47CE6469" w14:textId="436C8185" w:rsidR="00C65B51" w:rsidRPr="008B6C93" w:rsidRDefault="00374014">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 xml:space="preserve">Qualification Mapping and Learning Resources </w:t>
      </w:r>
    </w:p>
    <w:tbl>
      <w:tblPr>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2268"/>
        <w:gridCol w:w="1276"/>
        <w:gridCol w:w="5103"/>
        <w:gridCol w:w="5670"/>
      </w:tblGrid>
      <w:tr w:rsidR="0020464B" w:rsidRPr="008B6C93" w14:paraId="3DB62935" w14:textId="77777777" w:rsidTr="002601F3">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6CB904A5" w14:textId="77777777"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vAlign w:val="top"/>
          </w:tcPr>
          <w:p w14:paraId="10F4229C" w14:textId="4ECCF44F"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00E0671C" w14:textId="344F5393"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BE045A2" w14:textId="1F019684"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5DC34FE" w14:textId="435814B5"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Key Learning Resources (Prescribed and Recommended) </w:t>
            </w:r>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 – English for Communication and Academic Writing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 individually authored referenced report, annotated source appraisal, editing record and oral briefing with questions; retain drafts and source notes.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2">
              <w:r>
                <w:rPr>
                  <w:rFonts w:ascii="Arial" w:hAnsi="Arial" w:eastAsia="Arial" w:cs="Arial"/>
                  <w:sz w:val="20"/>
                  <w:szCs w:val="20"/>
                </w:rPr>
                <w:t>Smith, J. (2019). Communication at work: A college-to-career guide to success. eCampusOntario.</w:t>
              </w:r>
            </w:hyperlink>
          </w:p>
          <w:p>
            <w:pPr>
              <w:spacing w:after="40" w:line="240" w:lineRule="auto" w:before="40"/>
            </w:pPr>
            <w:hyperlink r:id="rId13">
              <w:r>
                <w:rPr>
                  <w:rFonts w:ascii="Arial" w:hAnsi="Arial" w:eastAsia="Arial" w:cs="Arial"/>
                  <w:sz w:val="20"/>
                  <w:szCs w:val="20"/>
                </w:rPr>
                <w:t>Robinson, M. B., Jerskey, M., &amp; Fulwiler, T. (2021). Writing guide with handbook. OpenStax.</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p>
            <w:pPr>
              <w:spacing w:after="40" w:line="240" w:lineRule="auto" w:before="40"/>
            </w:pPr>
            <w:hyperlink r:id="rId15">
              <w:r>
                <w:rPr>
                  <w:rFonts w:ascii="Arial" w:hAnsi="Arial" w:eastAsia="Arial" w:cs="Arial"/>
                  <w:sz w:val="20"/>
                  <w:szCs w:val="20"/>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 – Principles of Information Systems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 sandbox portfolio containing a validated spreadsheet, workflow diagram, verified AI-output comparison with source log, phishing-response exercise and privacy-aware improvement proposal. Use synthetic data; no real credentials, personal records or live security testing.</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6">
              <w:r>
                <w:rPr>
                  <w:rFonts w:ascii="Arial" w:hAnsi="Arial" w:eastAsia="Arial" w:cs="Arial"/>
                  <w:sz w:val="20"/>
                  <w:szCs w:val="20"/>
                </w:rPr>
                <w:t>LibreOffice Documentation Team. (2024). Getting started guide 24.8. The Document Foundation.</w:t>
              </w:r>
            </w:hyperlink>
          </w:p>
          <w:p>
            <w:pPr>
              <w:spacing w:after="40" w:line="240" w:lineRule="auto" w:before="40"/>
            </w:pPr>
            <w:hyperlink r:id="rId17">
              <w:r>
                <w:rPr>
                  <w:rFonts w:ascii="Arial" w:hAnsi="Arial" w:eastAsia="Arial" w:cs="Arial"/>
                  <w:sz w:val="20"/>
                  <w:szCs w:val="20"/>
                </w:rPr>
                <w:t>Miao, F., Shiohira, K., &amp; Lao, N. (2024). AI competency framework for students. UNESCO. https://doi.org/10.54675/JKJB9835</w:t>
              </w:r>
            </w:hyperlink>
          </w:p>
          <w:p>
            <w:pPr>
              <w:spacing w:after="40" w:line="240" w:lineRule="auto" w:before="40"/>
            </w:pPr>
            <w:hyperlink r:id="rId18">
              <w:r>
                <w:rPr>
                  <w:rFonts w:ascii="Arial" w:hAnsi="Arial" w:eastAsia="Arial" w:cs="Arial"/>
                  <w:sz w:val="20"/>
                  <w:szCs w:val="20"/>
                </w:rPr>
                <w:t>Miao, F., &amp; Holmes, W. (2023). Guidance for generative AI in education and research. UNESCO. https://doi.org/10.54675/EWZM9535</w:t>
              </w:r>
            </w:hyperlink>
          </w:p>
          <w:p>
            <w:pPr>
              <w:spacing w:after="40" w:line="240" w:lineRule="auto" w:before="40"/>
            </w:pPr>
            <w:hyperlink r:id="rId19">
              <w:r>
                <w:rPr>
                  <w:rFonts w:ascii="Arial" w:hAnsi="Arial" w:eastAsia="Arial" w:cs="Arial"/>
                  <w:sz w:val="20"/>
                  <w:szCs w:val="20"/>
                </w:rPr>
                <w:t>Ministry of Information and Communication Technology. (2022). Namibia national cybersecurity strategy &amp; awareness raising plan 2022–2027.</w:t>
              </w:r>
            </w:hyperlink>
          </w:p>
          <w:p>
            <w:pPr>
              <w:spacing w:after="40" w:line="240" w:lineRule="auto" w:before="40"/>
            </w:pPr>
            <w:hyperlink r:id="rId20">
              <w:r>
                <w:rPr>
                  <w:rFonts w:ascii="Arial" w:hAnsi="Arial" w:eastAsia="Arial" w:cs="Arial"/>
                  <w:sz w:val="20"/>
                  <w:szCs w:val="20"/>
                </w:rPr>
                <w:t>Department of Communications and Digital Technologies. (2020). National digital and future skills strategy South Africa (Government Notice 513, Government Gazette 43730).</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DSLE-5103 – Disturbed Soils Landforms and Ecosystems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Site-condition portfolio, map interpretation and written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1">
              <w:r>
                <w:rPr>
                  <w:rFonts w:ascii="Arial" w:hAnsi="Arial" w:eastAsia="Arial" w:cs="Arial"/>
                  <w:sz w:val="20"/>
                  <w:szCs w:val="20"/>
                </w:rPr>
                <w:t>Holmes, P. M., Esler, K. J., Geerts, S., Ngwenya, D. K., Rebelo, A. G., Dorse, C., van der Merwe, J., Retief, K., Hall, S. W., Grey, P., &amp; Nsikani, M. M. (2022). Guidelines for restoring lowland sand fynbos ecosystems.</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CRPP-5104 – Closure Requirements and Progressive Rehabilitation Planning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Closure-plan interpretation, schedule and case-based examination.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3">
              <w:r>
                <w:rPr>
                  <w:rFonts w:ascii="Arial" w:hAnsi="Arial" w:eastAsia="Arial" w:cs="Arial"/>
                  <w:sz w:val="20"/>
                  <w:szCs w:val="20"/>
                </w:rPr>
                <w:t>Anglo American. (2019). Mine closure toolbox: Examples (Version 3).</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RFTM-5105 – Rehabilitation Field Techniques and Measurement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Observed field or simulation tasks, field notebook and dataset analysis.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24">
              <w:r>
                <w:rPr>
                  <w:rFonts w:ascii="Arial" w:hAnsi="Arial" w:eastAsia="Arial" w:cs="Arial"/>
                  <w:sz w:val="20"/>
                  <w:szCs w:val="20"/>
                </w:rPr>
                <w:t>Environmental Compliance Consultancy. (2019). Best practice guide: Environmental principles for mining in Namibia—Part 4: Mining and processing operations. Chamber of Mines of Namibia, Namibian Chamber of Environment, and Government of Namibia.</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32">
              <w:r>
                <w:rPr>
                  <w:rFonts w:ascii="Arial" w:hAnsi="Arial" w:eastAsia="Arial" w:cs="Arial"/>
                  <w:sz w:val="20"/>
                  <w:szCs w:val="20"/>
                </w:rPr>
                <w:t>International Council on Mining and Metals. (2021). Tailings management: Good practice guide.</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SWEM-5206 – Soil Water and Erosion Management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Management case study and inspection simulation.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1">
              <w:r>
                <w:rPr>
                  <w:rFonts w:ascii="Arial" w:hAnsi="Arial" w:eastAsia="Arial" w:cs="Arial"/>
                  <w:sz w:val="20"/>
                  <w:szCs w:val="20"/>
                </w:rPr>
                <w:t>Holmes, P. M., Esler, K. J., Geerts, S., Ngwenya, D. K., Rebelo, A. G., Dorse, C., van der Merwe, J., Retief, K., Hall, S. W., Grey, P., &amp; Nsikani, M. M. (2022). Guidelines for restoring lowland sand fynbos ecosystems.</w:t>
              </w:r>
            </w:hyperlink>
          </w:p>
          <w:p>
            <w:pPr>
              <w:spacing w:after="40" w:line="240" w:lineRule="auto" w:before="40"/>
            </w:pPr>
            <w:hyperlink r:id="rId74">
              <w:r>
                <w:rPr>
                  <w:rFonts w:ascii="Arial" w:hAnsi="Arial" w:eastAsia="Arial" w:cs="Arial"/>
                  <w:sz w:val="20"/>
                  <w:szCs w:val="20"/>
                </w:rPr>
                <w:t>Food and Agriculture Organization of the United Nations. (2017). Voluntary guidelines for sustainable soil management.</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RVEA-5207 – Revegetation and Ecosystem Aftercare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Revegetation plan, monitoring dataset and oral explanation.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1">
              <w:r>
                <w:rPr>
                  <w:rFonts w:ascii="Arial" w:hAnsi="Arial" w:eastAsia="Arial" w:cs="Arial"/>
                  <w:sz w:val="20"/>
                  <w:szCs w:val="20"/>
                </w:rPr>
                <w:t>Holmes, P. M., Esler, K. J., Geerts, S., Ngwenya, D. K., Rebelo, A. G., Dorse, C., van der Merwe, J., Retief, K., Hall, S. W., Grey, P., &amp; Nsikani, M. M. (2022). Guidelines for restoring lowland sand fynbos ecosystems.</w:t>
              </w:r>
            </w:hyperlink>
          </w:p>
          <w:p>
            <w:pPr>
              <w:spacing w:after="40" w:line="240" w:lineRule="auto" w:before="40"/>
            </w:pPr>
            <w:hyperlink r:id="rId74">
              <w:r>
                <w:rPr>
                  <w:rFonts w:ascii="Arial" w:hAnsi="Arial" w:eastAsia="Arial" w:cs="Arial"/>
                  <w:sz w:val="20"/>
                  <w:szCs w:val="20"/>
                </w:rPr>
                <w:t>Food and Agriculture Organization of the United Nations. (2017). Voluntary guidelines for sustainable soil management.</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CSRP-5208 – Closure Stakeholder Relations and Resource Planning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Stakeholder scenario, resource estimate and work-plan portfolio.</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RCVA-5209 – Rehabilitation Completion Verification and Aftercare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Evidence review portfolio and written scenario test.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26">
              <w:r>
                <w:rPr>
                  <w:rFonts w:ascii="Arial" w:hAnsi="Arial" w:eastAsia="Arial" w:cs="Arial"/>
                  <w:sz w:val="20"/>
                  <w:szCs w:val="20"/>
                </w:rPr>
                <w:t>Chamber of Mines of Namibia. (2024). 2023 annual review.</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IRCP-5210 – Integrated Rehabilitation and Closure Project (Level 5, 16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 EO3, EO4, EO5, EO6</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Individual technical portfolio, cost and schedule appendices, and oral defence.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Ministry responsible for environment — Environmental Management Act 7 of 2007</w:t>
              </w:r>
            </w:hyperlink>
          </w:p>
          <w:p>
            <w:pPr>
              <w:spacing w:after="40" w:line="240" w:lineRule="auto" w:before="40"/>
            </w:pPr>
            <w:hyperlink r:id="rId68">
              <w:r>
                <w:rPr>
                  <w:rFonts w:ascii="Arial" w:hAnsi="Arial" w:eastAsia="Arial" w:cs="Arial"/>
                  <w:sz w:val="20"/>
                  <w:szCs w:val="20"/>
                </w:rPr>
                <w:t>Ministry responsible for environment — Environmental assessment portal and regulations</w:t>
              </w:r>
            </w:hyperlink>
          </w:p>
          <w:p>
            <w:pPr>
              <w:spacing w:after="40" w:line="240" w:lineRule="auto" w:before="40"/>
            </w:pPr>
            <w:hyperlink r:id="rId69">
              <w:r>
                <w:rPr>
                  <w:rFonts w:ascii="Arial" w:hAnsi="Arial" w:eastAsia="Arial" w:cs="Arial"/>
                  <w:sz w:val="20"/>
                  <w:szCs w:val="20"/>
                </w:rPr>
                <w:t>IFC — Environmental Health and Safety Guidelines for Mining (2007)</w:t>
              </w:r>
            </w:hyperlink>
          </w:p>
          <w:p>
            <w:pPr>
              <w:spacing w:after="40" w:line="240" w:lineRule="auto" w:before="40"/>
            </w:pPr>
            <w:hyperlink r:id="rId70">
              <w:r>
                <w:rPr>
                  <w:rFonts w:ascii="Arial" w:hAnsi="Arial" w:eastAsia="Arial" w:cs="Arial"/>
                  <w:sz w:val="20"/>
                  <w:szCs w:val="20"/>
                </w:rPr>
                <w:t>Environmental Compliance Consultancy. (2019). Best practice guide: Environmental principles for mining in Namibia—Part 5: Care and maintenance, closure and completion. Chamber of Mines of Namibia, Namibian Chamber of Environment, and Government of Namibia.</w:t>
              </w:r>
            </w:hyperlink>
          </w:p>
          <w:p>
            <w:pPr>
              <w:spacing w:after="40" w:line="240" w:lineRule="auto" w:before="40"/>
            </w:pPr>
            <w:hyperlink r:id="rId71">
              <w:r>
                <w:rPr>
                  <w:rFonts w:ascii="Arial" w:hAnsi="Arial" w:eastAsia="Arial" w:cs="Arial"/>
                  <w:sz w:val="20"/>
                  <w:szCs w:val="20"/>
                </w:rPr>
                <w:t>Holmes, P. M., Esler, K. J., Geerts, S., Ngwenya, D. K., Rebelo, A. G., Dorse, C., van der Merwe, J., Retief, K., Hall, S. W., Grey, P., &amp; Nsikani, M. M. (2022). Guidelines for restoring lowland sand fynbos ecosystems.</w:t>
              </w:r>
            </w:hyperlink>
          </w:p>
          <w:p>
            <w:pPr>
              <w:spacing w:after="40" w:line="240" w:lineRule="auto" w:before="40"/>
            </w:pPr>
            <w:hyperlink r:id="rId72">
              <w:r>
                <w:rPr>
                  <w:rFonts w:ascii="Arial" w:hAnsi="Arial" w:eastAsia="Arial" w:cs="Arial"/>
                  <w:sz w:val="20"/>
                  <w:szCs w:val="20"/>
                </w:rPr>
                <w:t>International Council on Mining and Metals. (2019). Integrated mine closure: Good practice guide (2nd ed.).</w:t>
              </w:r>
            </w:hyperlink>
          </w:p>
        </w:tc>
      </w:tr>
    </w:tbl>
    <w:p w14:paraId="69544E13"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Comparative Benchmarking</w:t>
      </w:r>
    </w:p>
    <w:p w14:paraId="624416E7" w14:textId="77777777" w:rsidR="00BA2940" w:rsidRPr="008B6C93" w:rsidRDefault="00BA2940" w:rsidP="00BA2940">
      <w:pPr>
        <w:keepNext/>
        <w:spacing w:before="0" w:after="120"/>
        <w:rPr>
          <w:rFonts w:ascii="Arial" w:hAnsi="Arial" w:eastAsia="Arial" w:cs="Arial"/>
          <w:sz w:val="20"/>
          <w:szCs w:val="20"/>
        </w:rPr>
      </w:pPr>
      <w:r w:rsidRPr="008B6C93">
        <w:rPr>
          <w:rFonts w:ascii="Arial" w:hAnsi="Arial" w:eastAsia="Arial" w:cs="Arial"/>
          <w:sz w:val="20"/>
          <w:szCs w:val="20"/>
        </w:rPr>
        <w:t xml:space="preserve">The comparators inform content and assessment design. Foreign levels, credit </w:t>
      </w:r>
      <w:proofErr w:type="gramStart"/>
      <w:r w:rsidRPr="008B6C93">
        <w:rPr>
          <w:rFonts w:ascii="Arial" w:hAnsi="Arial" w:eastAsia="Arial" w:cs="Arial"/>
          <w:sz w:val="20"/>
          <w:szCs w:val="20"/>
        </w:rPr>
        <w:t>values</w:t>
      </w:r>
      <w:proofErr w:type="gramEnd"/>
      <w:r w:rsidRPr="008B6C93">
        <w:rPr>
          <w:rFonts w:ascii="Arial" w:hAnsi="Arial" w:eastAsia="Arial" w:cs="Arial"/>
          <w:sz w:val="20"/>
          <w:szCs w:val="20"/>
        </w:rPr>
        <w:t xml:space="preserve"> and occupational privileges are not treated as equivalent to this proposed Namibian qualification.</w:t>
      </w:r>
    </w:p>
    <w:tbl>
      <w:tblPr>
        <w:tblStyle w:val="TableGrid"/>
        <w:tblW w:w="0" w:type="auto"/>
        <w:tblInd w:w="108" w:type="dxa"/>
        <w:tblLook w:val="04A0" w:firstRow="1" w:lastRow="0" w:firstColumn="1" w:lastColumn="0" w:noHBand="0" w:noVBand="1"/>
      </w:tblPr>
      <w:tblGrid>
        <w:gridCol w:w="1701"/>
        <w:gridCol w:w="3119"/>
        <w:gridCol w:w="2977"/>
        <w:gridCol w:w="2268"/>
        <w:gridCol w:w="5067"/>
      </w:tblGrid>
      <w:tr w:rsidR="00BA2940" w:rsidRPr="008B6C93" w14:paraId="328A2D6D" w14:textId="77777777" w:rsidTr="00BA2940">
        <w:trPr>
          <w:tblHeader/>
        </w:trPr>
        <w:tc>
          <w:tcPr>
            <w:tcW w:w="1701" w:type="dxa"/>
            <w:shd w:val="clear" w:color="auto" w:fill="D9D9D9" w:themeFill="background1" w:themeFillShade="D9"/>
            <w:vAlign w:val="top"/>
          </w:tcPr>
          <w:p w14:paraId="1FCA3176" w14:textId="628226F2"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w:t>
            </w:r>
          </w:p>
        </w:tc>
        <w:tc>
          <w:tcPr>
            <w:tcW w:w="3119" w:type="dxa"/>
            <w:shd w:val="clear" w:color="auto" w:fill="D9D9D9" w:themeFill="background1" w:themeFillShade="D9"/>
            <w:vAlign w:val="top"/>
          </w:tcPr>
          <w:p w14:paraId="2AD83BB5" w14:textId="00682825"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Comparator and source</w:t>
            </w:r>
          </w:p>
        </w:tc>
        <w:tc>
          <w:tcPr>
            <w:tcW w:w="2977" w:type="dxa"/>
            <w:shd w:val="clear" w:color="auto" w:fill="D9D9D9" w:themeFill="background1" w:themeFillShade="D9"/>
            <w:vAlign w:val="top"/>
          </w:tcPr>
          <w:p w14:paraId="44775F4D" w14:textId="36D8BC47"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features</w:t>
            </w:r>
          </w:p>
        </w:tc>
        <w:tc>
          <w:tcPr>
            <w:tcW w:w="2268" w:type="dxa"/>
            <w:shd w:val="clear" w:color="auto" w:fill="D9D9D9" w:themeFill="background1" w:themeFillShade="D9"/>
            <w:vAlign w:val="top"/>
          </w:tcPr>
          <w:p w14:paraId="328FF0EE" w14:textId="33BBC969"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71A99C6" w14:textId="462A8C4C"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Adaptation and limits</w:t>
            </w:r>
          </w:p>
        </w:tc>
      </w:tr>
      <w:tr w:rsidR="00BA2940" w:rsidRPr="008B6C93" w14:paraId="6C979BF1" w14:textId="77777777" w:rsidTr="00BA2940">
        <w:trPr/>
        <w:tc>
          <w:tcPr>
            <w:tcW w:w="1701" w:type="dxa"/>
            <w:vAlign w:val="top"/>
          </w:tcPr>
          <w:p>
            <w:pPr>
              <w:spacing w:before="40" w:after="40" w:line="240" w:lineRule="auto"/>
              <w:jc w:val="left"/>
            </w:pPr>
            <w:r>
              <w:rPr>
                <w:rFonts w:ascii="Arial" w:hAnsi="Arial" w:eastAsia="Arial" w:cs="Arial"/>
                <w:b w:val="0"/>
                <w:sz w:val="20"/>
                <w:szCs w:val="20"/>
              </w:rPr>
              <w:t>Comparative curriculum design</w:t>
            </w:r>
          </w:p>
        </w:tc>
        <w:tc>
          <w:tcPr>
            <w:tcW w:w="3119" w:type="dxa"/>
            <w:vAlign w:val="top"/>
          </w:tcPr>
          <w:p>
            <w:pPr>
              <w:spacing w:before="40" w:after="40" w:line="240" w:lineRule="auto"/>
              <w:jc w:val="left"/>
            </w:pPr>
            <w:r>
              <w:rPr>
                <w:rFonts w:ascii="Arial" w:hAnsi="Arial" w:eastAsia="Arial" w:cs="Arial"/>
                <w:b w:val="0"/>
                <w:sz w:val="20"/>
                <w:szCs w:val="20"/>
              </w:rPr>
              <w:t>Current Level 5 benchmarking report for OCOL-5024</w:t>
            </w:r>
          </w:p>
        </w:tc>
        <w:tc>
          <w:tcPr>
            <w:tcW w:w="2977" w:type="dxa"/>
            <w:vAlign w:val="top"/>
          </w:tcPr>
          <w:p>
            <w:pPr>
              <w:spacing w:before="40" w:after="40" w:line="240" w:lineRule="auto"/>
              <w:jc w:val="left"/>
            </w:pPr>
            <w:r>
              <w:rPr>
                <w:rFonts w:ascii="Arial" w:hAnsi="Arial" w:eastAsia="Arial" w:cs="Arial"/>
                <w:b w:val="0"/>
                <w:sz w:val="20"/>
                <w:szCs w:val="20"/>
              </w:rPr>
              <w:t>Ecosystem rehabilitation and environmental-monitoring awards provide complementary content benchmarks. The proposed qualification adds mine closure planning, completion verification and community transition. It should prepare rehabilitation support personnel, not independent closure certifiers or mine-design engineers. The named comparators and their scope differences are documented in the accompanying Benchmarking Report.</w:t>
            </w:r>
          </w:p>
        </w:tc>
        <w:tc>
          <w:tcPr>
            <w:tcW w:w="2268" w:type="dxa"/>
            <w:vAlign w:val="top"/>
          </w:tcPr>
          <w:p>
            <w:pPr>
              <w:spacing w:before="40" w:after="40" w:line="240" w:lineRule="auto"/>
              <w:jc w:val="left"/>
            </w:pPr>
            <w:r>
              <w:rPr>
                <w:rFonts w:ascii="Arial" w:hAnsi="Arial" w:eastAsia="Arial" w:cs="Arial"/>
                <w:b w:val="0"/>
                <w:sz w:val="20"/>
                <w:szCs w:val="20"/>
              </w:rPr>
              <w:t>DSLE-5103, CRPP-5104, RFTM-5105, SWEM-5206, RVEA-5207, CSRP-5208, RCVA-5209, IRCP-5210</w:t>
            </w:r>
          </w:p>
        </w:tc>
        <w:tc>
          <w:tcPr>
            <w:tcW w:w="5067" w:type="dxa"/>
            <w:vAlign w:val="top"/>
          </w:tcPr>
          <w:p>
            <w:pPr>
              <w:spacing w:before="40" w:after="40" w:line="240" w:lineRule="auto"/>
              <w:jc w:val="left"/>
            </w:pPr>
            <w:r>
              <w:rPr>
                <w:rFonts w:ascii="Arial" w:hAnsi="Arial" w:eastAsia="Arial" w:cs="Arial"/>
                <w:b w:val="0"/>
                <w:sz w:val="20"/>
                <w:szCs w:val="20"/>
              </w:rPr>
              <w:t>Comparators inform content and assessment; no automatic equivalence, professional status or credit transfer is claimed.</w:t>
            </w:r>
          </w:p>
        </w:tc>
      </w:tr>
    </w:tbl>
    <w:p w14:paraId="6AE23700"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Oranjemund and Regional Needs</w:t>
      </w:r>
    </w:p>
    <w:tbl>
      <w:tblPr>
        <w:tblStyle w:val="TableGrid"/>
        <w:tblW w:w="0" w:type="auto"/>
        <w:tblInd w:w="108" w:type="dxa"/>
        <w:tblLook w:val="04A0" w:firstRow="1" w:lastRow="0" w:firstColumn="1" w:lastColumn="0" w:noHBand="0" w:noVBand="1"/>
      </w:tblPr>
      <w:tblGrid>
        <w:gridCol w:w="3702"/>
        <w:gridCol w:w="3810"/>
        <w:gridCol w:w="2553"/>
        <w:gridCol w:w="5067"/>
      </w:tblGrid>
      <w:tr w:rsidR="00BA2940" w:rsidRPr="008B6C93" w14:paraId="2FDFB843" w14:textId="77777777" w:rsidTr="009D0658">
        <w:trPr>
          <w:tblHeader/>
        </w:trPr>
        <w:tc>
          <w:tcPr>
            <w:tcW w:w="3702" w:type="dxa"/>
            <w:shd w:val="clear" w:color="auto" w:fill="D9D9D9" w:themeFill="background1" w:themeFillShade="D9"/>
            <w:vAlign w:val="top"/>
          </w:tcPr>
          <w:p w14:paraId="20E70E69" w14:textId="0E89EDC3"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Contextual need</w:t>
            </w:r>
          </w:p>
        </w:tc>
        <w:tc>
          <w:tcPr>
            <w:tcW w:w="3810" w:type="dxa"/>
            <w:shd w:val="clear" w:color="auto" w:fill="D9D9D9" w:themeFill="background1" w:themeFillShade="D9"/>
            <w:vAlign w:val="top"/>
          </w:tcPr>
          <w:p w14:paraId="5B20949B" w14:textId="1715341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Evidence source</w:t>
            </w:r>
          </w:p>
        </w:tc>
        <w:tc>
          <w:tcPr>
            <w:tcW w:w="2553" w:type="dxa"/>
            <w:shd w:val="clear" w:color="auto" w:fill="D9D9D9" w:themeFill="background1" w:themeFillShade="D9"/>
            <w:vAlign w:val="top"/>
          </w:tcPr>
          <w:p w14:paraId="0BF1DC92" w14:textId="237C8EE8"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8A793D8" w14:textId="7C831C5D"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Assessed learning response</w:t>
            </w:r>
          </w:p>
        </w:tc>
      </w:tr>
      <w:tr w:rsidR="00BA2940" w:rsidRPr="008B6C93" w14:paraId="6C177CFC" w14:textId="77777777" w:rsidTr="009D0658">
        <w:trPr/>
        <w:tc>
          <w:tcPr>
            <w:tcW w:w="3702" w:type="dxa"/>
            <w:vAlign w:val="top"/>
          </w:tcPr>
          <w:p>
            <w:pPr>
              <w:spacing w:before="40" w:after="40" w:line="240" w:lineRule="auto"/>
              <w:jc w:val="left"/>
            </w:pPr>
            <w:r>
              <w:rPr>
                <w:rFonts w:ascii="Arial" w:hAnsi="Arial" w:eastAsia="Arial" w:cs="Arial"/>
                <w:b w:val="0"/>
                <w:sz w:val="20"/>
                <w:szCs w:val="20"/>
              </w:rPr>
              <w:t>Programme rationale and regional context</w:t>
            </w:r>
          </w:p>
        </w:tc>
        <w:tc>
          <w:tcPr>
            <w:tcW w:w="3810" w:type="dxa"/>
            <w:vAlign w:val="top"/>
          </w:tcPr>
          <w:p>
            <w:pPr>
              <w:spacing w:before="40" w:after="40" w:line="240" w:lineRule="auto"/>
              <w:jc w:val="left"/>
            </w:pPr>
            <w:r>
              <w:rPr>
                <w:rFonts w:ascii="Arial" w:hAnsi="Arial" w:eastAsia="Arial" w:cs="Arial"/>
                <w:b w:val="0"/>
                <w:sz w:val="20"/>
                <w:szCs w:val="20"/>
              </w:rPr>
              <w:t>Mine rehabilitation and closure require continuing evidence about land condition, aftercare and completion criteria. Namibia’s industry framework supplies a relevant practice context; it does not establish a confirmed employment forecast or replace current legal requirements.</w:t>
            </w:r>
          </w:p>
        </w:tc>
        <w:tc>
          <w:tcPr>
            <w:tcW w:w="2553" w:type="dxa"/>
            <w:vAlign w:val="top"/>
          </w:tcPr>
          <w:p>
            <w:pPr>
              <w:spacing w:before="40" w:after="40" w:line="240" w:lineRule="auto"/>
              <w:jc w:val="left"/>
            </w:pPr>
            <w:r>
              <w:rPr>
                <w:rFonts w:ascii="Arial" w:hAnsi="Arial" w:eastAsia="Arial" w:cs="Arial"/>
                <w:b w:val="0"/>
                <w:sz w:val="20"/>
                <w:szCs w:val="20"/>
              </w:rPr>
              <w:t>DSLE-5103, CRPP-5104, RFTM-5105, SWEM-5206, RVEA-5207, CSRP-5208, RCVA-5209, IRCP-5210</w:t>
            </w:r>
          </w:p>
        </w:tc>
        <w:tc>
          <w:tcPr>
            <w:tcW w:w="5067" w:type="dxa"/>
            <w:vAlign w:val="top"/>
          </w:tcPr>
          <w:p>
            <w:pPr>
              <w:spacing w:before="40" w:after="40" w:line="240" w:lineRule="auto"/>
              <w:jc w:val="left"/>
            </w:pPr>
            <w:r>
              <w:rPr>
                <w:rFonts w:ascii="Arial" w:hAnsi="Arial" w:eastAsia="Arial" w:cs="Arial"/>
                <w:b w:val="0"/>
                <w:sz w:val="20"/>
                <w:szCs w:val="20"/>
              </w:rPr>
              <w:t>The individual integrated project and module assessment evidence listed above test the proposed capabilities. The separate needs analysis retains unresolved demand and consultation evidence.</w:t>
            </w:r>
          </w:p>
        </w:tc>
      </w:tr>
    </w:tbl>
    <w:p w14:paraId="730E0EBC"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National and Sector Policy Alignment</w:t>
      </w:r>
    </w:p>
    <w:tbl>
      <w:tblPr>
        <w:tblStyle w:val="TableGrid"/>
        <w:tblW w:w="0" w:type="auto"/>
        <w:tblInd w:w="108" w:type="dxa"/>
        <w:tblLook w:val="04A0" w:firstRow="1" w:lastRow="0" w:firstColumn="1" w:lastColumn="0" w:noHBand="0" w:noVBand="1"/>
      </w:tblPr>
      <w:tblGrid>
        <w:gridCol w:w="2977"/>
        <w:gridCol w:w="4535"/>
        <w:gridCol w:w="1702"/>
        <w:gridCol w:w="5918"/>
      </w:tblGrid>
      <w:tr w:rsidR="00BA2940" w:rsidRPr="008B6C93" w14:paraId="67318C23" w14:textId="77777777" w:rsidTr="00BA2940">
        <w:trPr>
          <w:tblHeader/>
        </w:trPr>
        <w:tc>
          <w:tcPr>
            <w:tcW w:w="2977" w:type="dxa"/>
            <w:shd w:val="clear" w:color="auto" w:fill="D9D9D9" w:themeFill="background1" w:themeFillShade="D9"/>
            <w:vAlign w:val="top"/>
          </w:tcPr>
          <w:p w14:paraId="28A1F241" w14:textId="5CBFF13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Policy or framework</w:t>
            </w:r>
          </w:p>
        </w:tc>
        <w:tc>
          <w:tcPr>
            <w:tcW w:w="4535" w:type="dxa"/>
            <w:shd w:val="clear" w:color="auto" w:fill="D9D9D9" w:themeFill="background1" w:themeFillShade="D9"/>
            <w:vAlign w:val="top"/>
          </w:tcPr>
          <w:p w14:paraId="67D77324" w14:textId="6A0E987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priority or theme</w:t>
            </w:r>
          </w:p>
        </w:tc>
        <w:tc>
          <w:tcPr>
            <w:tcW w:w="1702" w:type="dxa"/>
            <w:shd w:val="clear" w:color="auto" w:fill="D9D9D9" w:themeFill="background1" w:themeFillShade="D9"/>
            <w:vAlign w:val="top"/>
          </w:tcPr>
          <w:p w14:paraId="4F690983" w14:textId="4CFB8BCE"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918" w:type="dxa"/>
            <w:shd w:val="clear" w:color="auto" w:fill="D9D9D9" w:themeFill="background1" w:themeFillShade="D9"/>
            <w:vAlign w:val="top"/>
          </w:tcPr>
          <w:p w14:paraId="0B9ED3D7" w14:textId="692F4CB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Curriculum response</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Namibian National Qualifications Framework: GN 125 of 2006, regulation 5 and Annexures A and C</w:t>
            </w:r>
          </w:p>
        </w:tc>
        <w:tc>
          <w:tcPr>
            <w:tcW w:w="4535" w:type="dxa"/>
            <w:vAlign w:val="top"/>
          </w:tcPr>
          <w:p>
            <w:pPr>
              <w:spacing w:before="40" w:after="40" w:line="240" w:lineRule="auto"/>
              <w:jc w:val="left"/>
            </w:pPr>
            <w:r>
              <w:rPr>
                <w:rFonts w:ascii="Arial" w:hAnsi="Arial" w:eastAsia="Arial" w:cs="Arial"/>
                <w:b w:val="0"/>
                <w:sz w:val="20"/>
                <w:szCs w:val="20"/>
              </w:rPr>
              <w:t>Level descriptors, qualification specification and ten notional hours per credit</w:t>
            </w:r>
          </w:p>
        </w:tc>
        <w:tc>
          <w:tcPr>
            <w:tcW w:w="1702" w:type="dxa"/>
            <w:vAlign w:val="top"/>
          </w:tcPr>
          <w:p>
            <w:pPr>
              <w:spacing w:before="40" w:after="40" w:line="240" w:lineRule="auto"/>
              <w:jc w:val="left"/>
            </w:pPr>
            <w:r>
              <w:rPr>
                <w:rFonts w:ascii="Arial" w:hAnsi="Arial" w:eastAsia="Arial" w:cs="Arial"/>
                <w:b w:val="0"/>
                <w:sz w:val="20"/>
                <w:szCs w:val="20"/>
              </w:rPr>
              <w:t>All modules</w:t>
            </w:r>
          </w:p>
        </w:tc>
        <w:tc>
          <w:tcPr>
            <w:tcW w:w="5918" w:type="dxa"/>
            <w:vAlign w:val="top"/>
          </w:tcPr>
          <w:p>
            <w:pPr>
              <w:spacing w:before="40" w:after="40" w:line="240" w:lineRule="auto"/>
              <w:jc w:val="left"/>
            </w:pPr>
            <w:r>
              <w:rPr>
                <w:rFonts w:ascii="Arial" w:hAnsi="Arial" w:eastAsia="Arial" w:cs="Arial"/>
                <w:b w:val="0"/>
                <w:sz w:val="20"/>
                <w:szCs w:val="20"/>
              </w:rPr>
              <w:t>Level 5 outcomes, 120 credits, 1,200 notional hours and explicit assessment mapping. Registration and approval are not asserted.</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UNESCO (2024). AI competency framework for students.</w:t>
            </w:r>
          </w:p>
        </w:tc>
        <w:tc>
          <w:tcPr>
            <w:tcW w:w="4535" w:type="dxa"/>
            <w:vAlign w:val="top"/>
          </w:tcPr>
          <w:p>
            <w:pPr>
              <w:spacing w:before="40" w:after="40" w:line="240" w:lineRule="auto"/>
              <w:jc w:val="left"/>
            </w:pPr>
            <w:r>
              <w:rPr>
                <w:rFonts w:ascii="Arial" w:hAnsi="Arial" w:eastAsia="Arial" w:cs="Arial"/>
                <w:b w:val="0"/>
                <w:sz w:val="20"/>
                <w:szCs w:val="20"/>
              </w:rPr>
              <w:t>Responsible AI use, critical evaluation and human oversight</w:t>
            </w:r>
          </w:p>
        </w:tc>
        <w:tc>
          <w:tcPr>
            <w:tcW w:w="1702" w:type="dxa"/>
            <w:vAlign w:val="top"/>
          </w:tcPr>
          <w:p>
            <w:pPr>
              <w:spacing w:before="40" w:after="40" w:line="240" w:lineRule="auto"/>
              <w:jc w:val="left"/>
            </w:pPr>
            <w:r>
              <w:rPr>
                <w:rFonts w:ascii="Arial" w:hAnsi="Arial" w:eastAsia="Arial" w:cs="Arial"/>
                <w:b w:val="0"/>
                <w:sz w:val="20"/>
                <w:szCs w:val="20"/>
              </w:rPr>
              <w:t>PISY-5102; ECAW-5101</w:t>
            </w:r>
          </w:p>
        </w:tc>
        <w:tc>
          <w:tcPr>
            <w:tcW w:w="5918" w:type="dxa"/>
            <w:vAlign w:val="top"/>
          </w:tcPr>
          <w:p>
            <w:pPr>
              <w:spacing w:before="40" w:after="40" w:line="240" w:lineRule="auto"/>
              <w:jc w:val="left"/>
            </w:pPr>
            <w:r>
              <w:rPr>
                <w:rFonts w:ascii="Arial" w:hAnsi="Arial" w:eastAsia="Arial" w:cs="Arial"/>
                <w:b w:val="0"/>
                <w:sz w:val="20"/>
                <w:szCs w:val="20"/>
              </w:rPr>
              <w:t>Verify AI-assisted outputs, disclose permitted assistance, protect data and retain individual evidence. The framework informs teaching rather than conferring regulatory approval.</w:t>
            </w:r>
          </w:p>
        </w:tc>
      </w:tr>
    </w:tbl>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7AD1E" w14:textId="77777777" w:rsidR="00B31F24" w:rsidRDefault="00B31F24">
      <w:pPr>
        <w:spacing w:after="0" w:line="240" w:lineRule="auto"/>
      </w:pPr>
      <w:r>
        <w:rPr>
          <w:rFonts w:ascii="Arial" w:hAnsi="Arial" w:eastAsia="Arial" w:cs="Arial"/>
          <w:sz w:val="20"/>
          <w:szCs w:val="20"/>
        </w:rPr>
        <w:separator/>
      </w:r>
    </w:p>
  </w:endnote>
  <w:endnote w:type="continuationSeparator" w:id="0">
    <w:p w14:paraId="386D6CAD" w14:textId="77777777" w:rsidR="00B31F24" w:rsidRDefault="00B31F24">
      <w:pPr>
        <w:spacing w:after="0" w:line="240" w:lineRule="auto"/>
      </w:pPr>
      <w:r>
        <w:rPr>
          <w:rFonts w:ascii="Arial" w:hAnsi="Arial" w:eastAsia="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20"/>
        <w:rFonts w:ascii="Arial" w:hAnsi="Arial" w:eastAsia="Arial" w:cs="Arial"/>
        <w:szCs w:val="20"/>
      </w:rPr>
      <w:t>Oranjemund College | Qualification structure</w:t>
    </w:r>
  </w:p>
  <w:p w14:paraId="174331D4" w14:textId="77777777" w:rsidR="00C65B51" w:rsidRDefault="00000000">
    <w:pPr>
      <w:pStyle w:val="Footer"/>
      <w:jc w:val="center"/>
    </w:pPr>
    <w:r>
      <w:rPr>
        <w:rFonts w:ascii="Arial" w:hAnsi="Arial" w:eastAsia="Arial" w:cs="Arial"/>
        <w:sz w:val="20"/>
        <w:szCs w:val="20"/>
      </w:rPr>
    </w:r>
    <w:r>
      <w:rPr>
        <w:rFonts w:ascii="Arial" w:hAnsi="Arial" w:eastAsia="Arial" w:cs="Arial"/>
        <w:sz w:val="20"/>
        <w:szCs w:val="20"/>
      </w:rPr>
    </w:r>
    <w:r>
      <w:rPr>
        <w:rFonts w:ascii="Arial" w:hAnsi="Arial" w:eastAsia="Arial" w:cs="Arial"/>
        <w:sz w:val="20"/>
        <w:szCs w:val="20"/>
      </w:rPr>
    </w:r>
    <w:fldSimple w:instr="PAGE">
      <w:r w:rsidR="008F64FC">
        <w:rPr>
          <w:noProof/>
          <w:rFonts w:ascii="Arial" w:hAnsi="Arial" w:eastAsia="Arial" w:cs="Arial"/>
          <w:sz w:val="20"/>
          <w:szCs w:val="20"/>
        </w:rPr>
        <w:t>1</w:t>
      </w:r>
    </w:fldSimple>
    <w:r>
      <w:rPr>
        <w:rFonts w:ascii="Arial" w:hAnsi="Arial" w:eastAsia="Arial" w:cs="Arial"/>
        <w:sz w:val="20"/>
        <w:szCs w:val="20"/>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55A5D" w14:textId="77777777" w:rsidR="00B31F24" w:rsidRDefault="00B31F24">
      <w:pPr>
        <w:spacing w:after="0" w:line="240" w:lineRule="auto"/>
      </w:pPr>
      <w:r>
        <w:rPr>
          <w:rFonts w:ascii="Arial" w:hAnsi="Arial" w:eastAsia="Arial" w:cs="Arial"/>
          <w:sz w:val="20"/>
          <w:szCs w:val="20"/>
        </w:rPr>
        <w:separator/>
      </w:r>
    </w:p>
  </w:footnote>
  <w:footnote w:type="continuationSeparator" w:id="0">
    <w:p w14:paraId="7AD2630E" w14:textId="77777777" w:rsidR="00B31F24" w:rsidRDefault="00B31F24">
      <w:pPr>
        <w:spacing w:after="0" w:line="240" w:lineRule="auto"/>
      </w:pPr>
      <w:r>
        <w:rPr>
          <w:rFonts w:ascii="Arial" w:hAnsi="Arial" w:eastAsia="Arial" w:cs="Arial"/>
          <w:sz w:val="20"/>
          <w:szCs w:val="20"/>
        </w:rP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Denotes the specific sub-category of learning within the broad field, ensuring accurate placement of the module in the NQF Classification System.</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eastAsia="Arial" w:cs="Arial"/>
        <w:sz w:val="20"/>
        <w:szCs w:val="2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sz w:val="20"/>
        <w:szCs w:val="2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sz w:val="20"/>
        <w:szCs w:val="2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sz w:val="20"/>
        <w:szCs w:val="20"/>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Arial" w:hAnsi="Arial" w:eastAsia="Arial" w:cs="Arial"/>
        <w:sz w:val="20"/>
        <w:szCs w:val="20"/>
      </w:rPr>
    </w:lvl>
    <w:lvl w:ilvl="1" w:tplc="08090003" w:tentative="1">
      <w:start w:val="1"/>
      <w:numFmt w:val="bullet"/>
      <w:lvlText w:val="o"/>
      <w:lvlJc w:val="left"/>
      <w:pPr>
        <w:ind w:left="1474" w:hanging="360"/>
      </w:pPr>
      <w:rPr>
        <w:rFonts w:ascii="Arial" w:hAnsi="Arial" w:eastAsia="Arial" w:cs="Arial"/>
        <w:sz w:val="20"/>
        <w:szCs w:val="20"/>
      </w:rPr>
    </w:lvl>
    <w:lvl w:ilvl="2" w:tplc="08090005" w:tentative="1">
      <w:start w:val="1"/>
      <w:numFmt w:val="bullet"/>
      <w:lvlText w:val=""/>
      <w:lvlJc w:val="left"/>
      <w:pPr>
        <w:ind w:left="2194" w:hanging="360"/>
      </w:pPr>
      <w:rPr>
        <w:rFonts w:ascii="Arial" w:hAnsi="Arial" w:eastAsia="Arial" w:cs="Arial"/>
        <w:sz w:val="20"/>
        <w:szCs w:val="20"/>
      </w:rPr>
    </w:lvl>
    <w:lvl w:ilvl="3" w:tplc="08090001" w:tentative="1">
      <w:start w:val="1"/>
      <w:numFmt w:val="bullet"/>
      <w:lvlText w:val=""/>
      <w:lvlJc w:val="left"/>
      <w:pPr>
        <w:ind w:left="2914" w:hanging="360"/>
      </w:pPr>
      <w:rPr>
        <w:rFonts w:ascii="Arial" w:hAnsi="Arial" w:eastAsia="Arial" w:cs="Arial"/>
        <w:sz w:val="20"/>
        <w:szCs w:val="20"/>
      </w:rPr>
    </w:lvl>
    <w:lvl w:ilvl="4" w:tplc="08090003" w:tentative="1">
      <w:start w:val="1"/>
      <w:numFmt w:val="bullet"/>
      <w:lvlText w:val="o"/>
      <w:lvlJc w:val="left"/>
      <w:pPr>
        <w:ind w:left="3634" w:hanging="360"/>
      </w:pPr>
      <w:rPr>
        <w:rFonts w:ascii="Arial" w:hAnsi="Arial" w:eastAsia="Arial" w:cs="Arial"/>
        <w:sz w:val="20"/>
        <w:szCs w:val="20"/>
      </w:rPr>
    </w:lvl>
    <w:lvl w:ilvl="5" w:tplc="08090005" w:tentative="1">
      <w:start w:val="1"/>
      <w:numFmt w:val="bullet"/>
      <w:lvlText w:val=""/>
      <w:lvlJc w:val="left"/>
      <w:pPr>
        <w:ind w:left="4354" w:hanging="360"/>
      </w:pPr>
      <w:rPr>
        <w:rFonts w:ascii="Arial" w:hAnsi="Arial" w:eastAsia="Arial" w:cs="Arial"/>
        <w:sz w:val="20"/>
        <w:szCs w:val="20"/>
      </w:rPr>
    </w:lvl>
    <w:lvl w:ilvl="6" w:tplc="08090001" w:tentative="1">
      <w:start w:val="1"/>
      <w:numFmt w:val="bullet"/>
      <w:lvlText w:val=""/>
      <w:lvlJc w:val="left"/>
      <w:pPr>
        <w:ind w:left="5074" w:hanging="360"/>
      </w:pPr>
      <w:rPr>
        <w:rFonts w:ascii="Arial" w:hAnsi="Arial" w:eastAsia="Arial" w:cs="Arial"/>
        <w:sz w:val="20"/>
        <w:szCs w:val="20"/>
      </w:rPr>
    </w:lvl>
    <w:lvl w:ilvl="7" w:tplc="08090003" w:tentative="1">
      <w:start w:val="1"/>
      <w:numFmt w:val="bullet"/>
      <w:lvlText w:val="o"/>
      <w:lvlJc w:val="left"/>
      <w:pPr>
        <w:ind w:left="5794" w:hanging="360"/>
      </w:pPr>
      <w:rPr>
        <w:rFonts w:ascii="Arial" w:hAnsi="Arial" w:eastAsia="Arial" w:cs="Arial"/>
        <w:sz w:val="20"/>
        <w:szCs w:val="20"/>
      </w:rPr>
    </w:lvl>
    <w:lvl w:ilvl="8" w:tplc="08090005" w:tentative="1">
      <w:start w:val="1"/>
      <w:numFmt w:val="bullet"/>
      <w:lvlText w:val=""/>
      <w:lvlJc w:val="left"/>
      <w:pPr>
        <w:ind w:left="6514" w:hanging="360"/>
      </w:pPr>
      <w:rPr>
        <w:rFonts w:ascii="Arial" w:hAnsi="Arial" w:eastAsia="Arial" w:cs="Arial"/>
        <w:sz w:val="20"/>
        <w:szCs w:val="20"/>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ascii="Arial" w:hAnsi="Arial" w:eastAsia="Arial" w:cs="Arial"/>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ascii="Arial" w:hAnsi="Arial" w:eastAsia="Arial" w:cs="Arial"/>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17"/>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31F24"/>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eastAsia="Arial" w:cs="Arial"/>
      <w:color w:val="000000"/>
      <w:lang w:val="en-GB"/>
      <w:sz w:val="20"/>
      <w:szCs w:val="20"/>
    </w:rPr>
  </w:style>
  <w:style w:type="paragraph" w:styleId="Heading1">
    <w:name w:val="heading 1"/>
    <w:basedOn w:val="Normal"/>
    <w:next w:val="Normal"/>
    <w:link w:val="Heading1Char"/>
    <w:uiPriority w:val="9"/>
    <w:qFormat/>
    <w:rsid w:val="00FC693F"/>
    <w:pPr>
      <w:keepNext/>
      <w:keepLines/>
      <w:spacing w:before="200"/>
      <w:outlineLvl w:val="0"/>
    </w:pPr>
    <w:rPr>
      <w:rFonts w:ascii="Arial" w:hAnsi="Arial" w:eastAsia="Arial" w:cs="Arial"/>
      <w:b/>
      <w:bCs/>
      <w:sz w:val="20"/>
      <w:szCs w:val="20"/>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Arial" w:hAnsi="Arial" w:eastAsia="Arial" w:cs="Arial"/>
      <w:b/>
      <w:bCs/>
      <w:sz w:val="20"/>
      <w:szCs w:val="20"/>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Arial" w:hAnsi="Arial" w:eastAsia="Arial" w:cs="Arial"/>
      <w:b/>
      <w:bCs/>
      <w:sz w:val="20"/>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0"/>
      <w:szCs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0"/>
      <w:szCs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0"/>
      <w:szCs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0"/>
      <w:szCs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rPr>
      <w:rFonts w:ascii="Arial" w:hAnsi="Arial" w:eastAsia="Arial" w:cs="Arial"/>
      <w:sz w:val="20"/>
      <w:szCs w:val="20"/>
    </w:rPr>
    <w:name w:val="Default Paragraph Font"/>
    <w:uiPriority w:val="1"/>
    <w:semiHidden/>
    <w:unhideWhenUsed/>
  </w:style>
  <w:style w:type="table" w:default="1" w:styleId="TableNormal">
    <w:rPr>
      <w:rFonts w:ascii="Arial" w:hAnsi="Arial" w:eastAsia="Arial" w:cs="Arial"/>
      <w:sz w:val="20"/>
      <w:szCs w:val="20"/>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0"/>
      <w:szCs w:val="20"/>
    </w:rPr>
    <w:name w:val="No List"/>
    <w:uiPriority w:val="99"/>
    <w:semiHidden/>
    <w:unhideWhenUsed/>
  </w:style>
  <w:style w:type="paragraph" w:styleId="Header">
    <w:rPr>
      <w:rFonts w:ascii="Arial" w:hAnsi="Arial" w:eastAsia="Arial" w:cs="Arial"/>
      <w:sz w:val="20"/>
      <w:szCs w:val="20"/>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0"/>
      <w:szCs w:val="20"/>
    </w:rPr>
    <w:name w:val="Header Char"/>
    <w:basedOn w:val="DefaultParagraphFont"/>
    <w:link w:val="Header"/>
    <w:uiPriority w:val="99"/>
    <w:rsid w:val="00E618BF"/>
  </w:style>
  <w:style w:type="paragraph" w:styleId="Footer">
    <w:rPr>
      <w:rFonts w:ascii="Arial" w:hAnsi="Arial" w:eastAsia="Arial" w:cs="Arial"/>
      <w:sz w:val="20"/>
      <w:szCs w:val="20"/>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0"/>
      <w:szCs w:val="20"/>
    </w:rPr>
    <w:name w:val="Footer Char"/>
    <w:basedOn w:val="DefaultParagraphFont"/>
    <w:link w:val="Footer"/>
    <w:uiPriority w:val="99"/>
    <w:rsid w:val="00E618BF"/>
  </w:style>
  <w:style w:type="paragraph" w:styleId="NoSpacing">
    <w:rPr>
      <w:rFonts w:ascii="Arial" w:hAnsi="Arial" w:eastAsia="Arial" w:cs="Arial"/>
      <w:sz w:val="20"/>
      <w:szCs w:val="20"/>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0"/>
      <w:szCs w:val="20"/>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0"/>
      <w:szCs w:val="20"/>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0"/>
      <w:szCs w:val="20"/>
    </w:rPr>
  </w:style>
  <w:style w:type="paragraph" w:styleId="Title">
    <w:name w:val="Title"/>
    <w:basedOn w:val="Normal"/>
    <w:next w:val="Normal"/>
    <w:link w:val="TitleChar"/>
    <w:uiPriority w:val="10"/>
    <w:qFormat/>
    <w:rsid w:val="00FC693F"/>
    <w:pPr>
      <w:keepNext/>
      <w:spacing w:after="200" w:line="240" w:lineRule="auto"/>
      <w:contextualSpacing/>
    </w:pPr>
    <w:rPr>
      <w:rFonts w:ascii="Arial" w:hAnsi="Arial" w:eastAsia="Arial" w:cs="Arial"/>
      <w:b/>
      <w:spacing w:val="5"/>
      <w:kern w:val="28"/>
      <w:sz w:val="20"/>
      <w:szCs w:val="20"/>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0"/>
      <w:szCs w:val="20"/>
    </w:rPr>
  </w:style>
  <w:style w:type="paragraph" w:styleId="Subtitle">
    <w:name w:val="Subtitle"/>
    <w:basedOn w:val="Normal"/>
    <w:next w:val="Normal"/>
    <w:link w:val="SubtitleChar"/>
    <w:uiPriority w:val="11"/>
    <w:qFormat/>
    <w:rsid w:val="00FC693F"/>
    <w:pPr>
      <w:keepNext/>
      <w:numPr>
        <w:ilvl w:val="1"/>
      </w:numPr>
      <w:spacing w:after="160"/>
    </w:pPr>
    <w:rPr>
      <w:rFonts w:ascii="Arial" w:hAnsi="Arial" w:eastAsia="Arial" w:cs="Arial"/>
      <w:i/>
      <w:iCs/>
      <w:spacing w:val="15"/>
      <w:sz w:val="20"/>
      <w:szCs w:val="20"/>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0"/>
      <w:szCs w:val="20"/>
    </w:rPr>
  </w:style>
  <w:style w:type="paragraph" w:styleId="ListParagraph">
    <w:rPr>
      <w:rFonts w:ascii="Arial" w:hAnsi="Arial" w:eastAsia="Arial" w:cs="Arial"/>
      <w:sz w:val="20"/>
      <w:szCs w:val="20"/>
    </w:rPr>
    <w:name w:val="List Paragraph"/>
    <w:basedOn w:val="Normal"/>
    <w:uiPriority w:val="34"/>
    <w:qFormat/>
    <w:rsid w:val="00FC693F"/>
    <w:pPr>
      <w:ind w:left="720"/>
      <w:contextualSpacing/>
    </w:pPr>
  </w:style>
  <w:style w:type="paragraph" w:styleId="BodyText">
    <w:rPr>
      <w:rFonts w:ascii="Arial" w:hAnsi="Arial" w:eastAsia="Arial" w:cs="Arial"/>
      <w:sz w:val="20"/>
      <w:szCs w:val="20"/>
    </w:rPr>
    <w:name w:val="Body Text"/>
    <w:basedOn w:val="Normal"/>
    <w:link w:val="BodyTextChar"/>
    <w:uiPriority w:val="99"/>
    <w:unhideWhenUsed/>
    <w:rsid w:val="00AA1D8D"/>
  </w:style>
  <w:style w:type="character" w:customStyle="1" w:styleId="BodyTextChar">
    <w:rPr>
      <w:rFonts w:ascii="Arial" w:hAnsi="Arial" w:eastAsia="Arial" w:cs="Arial"/>
      <w:sz w:val="20"/>
      <w:szCs w:val="20"/>
    </w:rPr>
    <w:name w:val="Body Text Char"/>
    <w:basedOn w:val="DefaultParagraphFont"/>
    <w:link w:val="BodyText"/>
    <w:uiPriority w:val="99"/>
    <w:rsid w:val="00AA1D8D"/>
  </w:style>
  <w:style w:type="paragraph" w:styleId="BodyText2">
    <w:rPr>
      <w:rFonts w:ascii="Arial" w:hAnsi="Arial" w:eastAsia="Arial" w:cs="Arial"/>
      <w:sz w:val="20"/>
      <w:szCs w:val="20"/>
    </w:rPr>
    <w:name w:val="Body Text 2"/>
    <w:basedOn w:val="Normal"/>
    <w:link w:val="BodyText2Char"/>
    <w:uiPriority w:val="99"/>
    <w:unhideWhenUsed/>
    <w:rsid w:val="00AA1D8D"/>
    <w:pPr>
      <w:spacing w:line="480" w:lineRule="auto"/>
    </w:pPr>
  </w:style>
  <w:style w:type="character" w:customStyle="1" w:styleId="BodyText2Char">
    <w:rPr>
      <w:rFonts w:ascii="Arial" w:hAnsi="Arial" w:eastAsia="Arial" w:cs="Arial"/>
      <w:sz w:val="20"/>
      <w:szCs w:val="20"/>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20"/>
      <w:szCs w:val="20"/>
      <w:rFonts w:ascii="Arial" w:hAnsi="Arial" w:eastAsia="Arial" w:cs="Arial"/>
    </w:rPr>
  </w:style>
  <w:style w:type="character" w:customStyle="1" w:styleId="BodyText3Char">
    <w:name w:val="Body Text 3 Char"/>
    <w:basedOn w:val="DefaultParagraphFont"/>
    <w:link w:val="BodyText3"/>
    <w:uiPriority w:val="99"/>
    <w:rsid w:val="00AA1D8D"/>
    <w:rPr>
      <w:sz w:val="20"/>
      <w:szCs w:val="20"/>
      <w:rFonts w:ascii="Arial" w:hAnsi="Arial" w:eastAsia="Arial" w:cs="Arial"/>
    </w:rPr>
  </w:style>
  <w:style w:type="paragraph" w:styleId="List">
    <w:rPr>
      <w:rFonts w:ascii="Arial" w:hAnsi="Arial" w:eastAsia="Arial" w:cs="Arial"/>
      <w:sz w:val="20"/>
      <w:szCs w:val="20"/>
    </w:rPr>
    <w:name w:val="List"/>
    <w:basedOn w:val="Normal"/>
    <w:uiPriority w:val="99"/>
    <w:unhideWhenUsed/>
    <w:rsid w:val="00AA1D8D"/>
    <w:pPr>
      <w:ind w:left="360" w:hanging="360"/>
      <w:contextualSpacing/>
    </w:pPr>
  </w:style>
  <w:style w:type="paragraph" w:styleId="List2">
    <w:rPr>
      <w:rFonts w:ascii="Arial" w:hAnsi="Arial" w:eastAsia="Arial" w:cs="Arial"/>
      <w:sz w:val="20"/>
      <w:szCs w:val="20"/>
    </w:rPr>
    <w:name w:val="List 2"/>
    <w:basedOn w:val="Normal"/>
    <w:uiPriority w:val="99"/>
    <w:unhideWhenUsed/>
    <w:rsid w:val="00326F90"/>
    <w:pPr>
      <w:ind w:left="720" w:hanging="360"/>
      <w:contextualSpacing/>
    </w:pPr>
  </w:style>
  <w:style w:type="paragraph" w:styleId="List3">
    <w:rPr>
      <w:rFonts w:ascii="Arial" w:hAnsi="Arial" w:eastAsia="Arial" w:cs="Arial"/>
      <w:sz w:val="20"/>
      <w:szCs w:val="20"/>
    </w:rPr>
    <w:name w:val="List 3"/>
    <w:basedOn w:val="Normal"/>
    <w:uiPriority w:val="99"/>
    <w:unhideWhenUsed/>
    <w:rsid w:val="00326F90"/>
    <w:pPr>
      <w:ind w:left="1080" w:hanging="360"/>
      <w:contextualSpacing/>
    </w:pPr>
  </w:style>
  <w:style w:type="paragraph" w:styleId="ListBullet">
    <w:rPr>
      <w:rFonts w:ascii="Arial" w:hAnsi="Arial" w:eastAsia="Arial" w:cs="Arial"/>
      <w:sz w:val="20"/>
      <w:szCs w:val="20"/>
    </w:rPr>
    <w:name w:val="List Bullet"/>
    <w:basedOn w:val="Normal"/>
    <w:uiPriority w:val="99"/>
    <w:unhideWhenUsed/>
    <w:rsid w:val="00326F90"/>
    <w:pPr>
      <w:numPr>
        <w:numId w:val="1"/>
      </w:numPr>
      <w:contextualSpacing/>
    </w:pPr>
  </w:style>
  <w:style w:type="paragraph" w:styleId="ListBullet2">
    <w:rPr>
      <w:rFonts w:ascii="Arial" w:hAnsi="Arial" w:eastAsia="Arial" w:cs="Arial"/>
      <w:sz w:val="20"/>
      <w:szCs w:val="20"/>
    </w:rPr>
    <w:name w:val="List Bullet 2"/>
    <w:basedOn w:val="Normal"/>
    <w:uiPriority w:val="99"/>
    <w:unhideWhenUsed/>
    <w:rsid w:val="00326F90"/>
    <w:pPr>
      <w:numPr>
        <w:numId w:val="2"/>
      </w:numPr>
      <w:contextualSpacing/>
    </w:pPr>
  </w:style>
  <w:style w:type="paragraph" w:styleId="ListBullet3">
    <w:rPr>
      <w:rFonts w:ascii="Arial" w:hAnsi="Arial" w:eastAsia="Arial" w:cs="Arial"/>
      <w:sz w:val="20"/>
      <w:szCs w:val="20"/>
    </w:rPr>
    <w:name w:val="List Bullet 3"/>
    <w:basedOn w:val="Normal"/>
    <w:uiPriority w:val="99"/>
    <w:unhideWhenUsed/>
    <w:rsid w:val="00326F90"/>
    <w:pPr>
      <w:numPr>
        <w:numId w:val="3"/>
      </w:numPr>
      <w:contextualSpacing/>
    </w:pPr>
  </w:style>
  <w:style w:type="paragraph" w:styleId="ListNumber">
    <w:rPr>
      <w:rFonts w:ascii="Arial" w:hAnsi="Arial" w:eastAsia="Arial" w:cs="Arial"/>
      <w:sz w:val="20"/>
      <w:szCs w:val="20"/>
    </w:rPr>
    <w:name w:val="List Number"/>
    <w:basedOn w:val="Normal"/>
    <w:uiPriority w:val="99"/>
    <w:unhideWhenUsed/>
    <w:rsid w:val="00326F90"/>
    <w:pPr>
      <w:numPr>
        <w:numId w:val="5"/>
      </w:numPr>
      <w:contextualSpacing/>
    </w:pPr>
  </w:style>
  <w:style w:type="paragraph" w:styleId="ListNumber2">
    <w:rPr>
      <w:rFonts w:ascii="Arial" w:hAnsi="Arial" w:eastAsia="Arial" w:cs="Arial"/>
      <w:sz w:val="20"/>
      <w:szCs w:val="20"/>
    </w:rPr>
    <w:name w:val="List Number 2"/>
    <w:basedOn w:val="Normal"/>
    <w:uiPriority w:val="99"/>
    <w:unhideWhenUsed/>
    <w:rsid w:val="0029639D"/>
    <w:pPr>
      <w:numPr>
        <w:numId w:val="6"/>
      </w:numPr>
      <w:contextualSpacing/>
    </w:pPr>
  </w:style>
  <w:style w:type="paragraph" w:styleId="ListNumber3">
    <w:rPr>
      <w:rFonts w:ascii="Arial" w:hAnsi="Arial" w:eastAsia="Arial" w:cs="Arial"/>
      <w:sz w:val="20"/>
      <w:szCs w:val="20"/>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0"/>
      <w:szCs w:val="20"/>
    </w:rPr>
    <w:name w:val="List Continue"/>
    <w:basedOn w:val="Normal"/>
    <w:uiPriority w:val="99"/>
    <w:unhideWhenUsed/>
    <w:rsid w:val="0029639D"/>
    <w:pPr>
      <w:ind w:left="360"/>
      <w:contextualSpacing/>
    </w:pPr>
  </w:style>
  <w:style w:type="paragraph" w:styleId="ListContinue2">
    <w:rPr>
      <w:rFonts w:ascii="Arial" w:hAnsi="Arial" w:eastAsia="Arial" w:cs="Arial"/>
      <w:sz w:val="20"/>
      <w:szCs w:val="20"/>
    </w:rPr>
    <w:name w:val="List Continue 2"/>
    <w:basedOn w:val="Normal"/>
    <w:uiPriority w:val="99"/>
    <w:unhideWhenUsed/>
    <w:rsid w:val="0029639D"/>
    <w:pPr>
      <w:ind w:left="720"/>
      <w:contextualSpacing/>
    </w:pPr>
  </w:style>
  <w:style w:type="paragraph" w:styleId="ListContinue3">
    <w:rPr>
      <w:rFonts w:ascii="Arial" w:hAnsi="Arial" w:eastAsia="Arial" w:cs="Arial"/>
      <w:sz w:val="20"/>
      <w:szCs w:val="20"/>
    </w:rPr>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0"/>
      <w:szCs w:val="20"/>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0"/>
      <w:szCs w:val="2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0"/>
      <w:szCs w:val="20"/>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0"/>
      <w:szCs w:val="20"/>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0"/>
      <w:szCs w:val="20"/>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0"/>
      <w:szCs w:val="20"/>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20"/>
      <w:rFonts w:ascii="Arial" w:hAnsi="Arial" w:eastAsia="Arial" w:cs="Arial"/>
    </w:rPr>
  </w:style>
  <w:style w:type="character" w:styleId="Strong">
    <w:name w:val="Strong"/>
    <w:basedOn w:val="DefaultParagraphFont"/>
    <w:uiPriority w:val="22"/>
    <w:qFormat/>
    <w:rsid w:val="00FC693F"/>
    <w:rPr>
      <w:b/>
      <w:bCs/>
      <w:rFonts w:ascii="Arial" w:hAnsi="Arial" w:eastAsia="Arial" w:cs="Arial"/>
      <w:sz w:val="20"/>
      <w:szCs w:val="20"/>
    </w:rPr>
  </w:style>
  <w:style w:type="character" w:styleId="Emphasis">
    <w:name w:val="Emphasis"/>
    <w:basedOn w:val="DefaultParagraphFont"/>
    <w:uiPriority w:val="20"/>
    <w:qFormat/>
    <w:rsid w:val="00FC693F"/>
    <w:rPr>
      <w:i/>
      <w:iCs/>
      <w:rFonts w:ascii="Arial" w:hAnsi="Arial" w:eastAsia="Arial" w:cs="Arial"/>
      <w:sz w:val="20"/>
      <w:szCs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0"/>
      <w:szCs w:val="20"/>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0"/>
      <w:szCs w:val="20"/>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0"/>
      <w:szCs w:val="20"/>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0"/>
      <w:szCs w:val="20"/>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0"/>
      <w:szCs w:val="20"/>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0"/>
      <w:szCs w:val="20"/>
    </w:rPr>
  </w:style>
  <w:style w:type="character" w:styleId="BookTitle">
    <w:name w:val="Book Title"/>
    <w:basedOn w:val="DefaultParagraphFont"/>
    <w:uiPriority w:val="33"/>
    <w:qFormat/>
    <w:rsid w:val="00FC693F"/>
    <w:rPr>
      <w:b/>
      <w:bCs/>
      <w:smallCaps/>
      <w:spacing w:val="5"/>
      <w:rFonts w:ascii="Arial" w:hAnsi="Arial" w:eastAsia="Arial" w:cs="Arial"/>
      <w:sz w:val="20"/>
      <w:szCs w:val="20"/>
    </w:rPr>
  </w:style>
  <w:style w:type="paragraph" w:styleId="TOCHeading">
    <w:rPr>
      <w:rFonts w:ascii="Arial" w:hAnsi="Arial" w:eastAsia="Arial" w:cs="Arial"/>
      <w:sz w:val="20"/>
      <w:szCs w:val="20"/>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0"/>
      <w:szCs w:val="20"/>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0"/>
      <w:szCs w:val="20"/>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0"/>
      <w:szCs w:val="20"/>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0"/>
      <w:szCs w:val="20"/>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0"/>
      <w:szCs w:val="20"/>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0"/>
      <w:szCs w:val="20"/>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0"/>
      <w:szCs w:val="20"/>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0"/>
      <w:szCs w:val="20"/>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0"/>
      <w:szCs w:val="20"/>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eastAsia="Arial" w:cs="Arial"/>
        <w:b/>
        <w:bCs/>
        <w:sz w:val="20"/>
        <w:szCs w:val="20"/>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0"/>
      <w:szCs w:val="20"/>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eastAsia="Arial" w:cs="Arial"/>
        <w:b/>
        <w:bCs/>
        <w:sz w:val="20"/>
        <w:szCs w:val="20"/>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0"/>
      <w:szCs w:val="20"/>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eastAsia="Arial" w:cs="Arial"/>
        <w:b/>
        <w:bCs/>
        <w:sz w:val="20"/>
        <w:szCs w:val="20"/>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0"/>
      <w:szCs w:val="20"/>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eastAsia="Arial" w:cs="Arial"/>
        <w:b/>
        <w:bCs/>
        <w:sz w:val="20"/>
        <w:szCs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0"/>
      <w:szCs w:val="20"/>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eastAsia="Arial" w:cs="Arial"/>
        <w:b/>
        <w:bCs/>
        <w:sz w:val="20"/>
        <w:szCs w:val="20"/>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0"/>
      <w:szCs w:val="20"/>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eastAsia="Arial" w:cs="Arial"/>
        <w:b/>
        <w:bCs/>
        <w:sz w:val="20"/>
        <w:szCs w:val="20"/>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0"/>
      <w:szCs w:val="20"/>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eastAsia="Arial" w:cs="Arial"/>
        <w:b/>
        <w:bCs/>
        <w:sz w:val="20"/>
        <w:szCs w:val="20"/>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0"/>
      <w:szCs w:val="20"/>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0"/>
      <w:szCs w:val="20"/>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0"/>
      <w:szCs w:val="20"/>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0"/>
      <w:szCs w:val="20"/>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0"/>
      <w:szCs w:val="20"/>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0"/>
      <w:szCs w:val="20"/>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0"/>
      <w:szCs w:val="20"/>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0"/>
      <w:szCs w:val="20"/>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0"/>
      <w:szCs w:val="20"/>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0"/>
      <w:szCs w:val="20"/>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0"/>
      <w:szCs w:val="20"/>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0"/>
      <w:szCs w:val="20"/>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0"/>
      <w:szCs w:val="20"/>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0"/>
      <w:szCs w:val="20"/>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eastAsia="Arial" w:cs="Arial"/>
        <w:sz w:val="20"/>
        <w:szCs w:val="20"/>
      </w:rPr>
      <w:tblPr/>
      <w:tcPr>
        <w:tcBorders>
          <w:top w:val="nil"/>
          <w:bottom w:val="single" w:sz="8" w:space="0" w:color="000000" w:themeColor="text1"/>
        </w:tcBorders>
      </w:tcPr>
    </w:tblStylePr>
    <w:tblStylePr w:type="lastRow">
      <w:rPr>
        <w:b/>
        <w:bCs/>
        <w:color w:val="1F497D" w:themeColor="text2"/>
        <w:rFonts w:ascii="Arial" w:hAnsi="Arial" w:eastAsia="Arial" w:cs="Arial"/>
        <w:sz w:val="20"/>
        <w:szCs w:val="20"/>
      </w:rPr>
      <w:tblPr/>
      <w:tcPr>
        <w:tcBorders>
          <w:top w:val="single" w:sz="8" w:space="0" w:color="000000" w:themeColor="text1"/>
          <w:bottom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eastAsia="Arial" w:cs="Arial"/>
        <w:sz w:val="20"/>
        <w:szCs w:val="20"/>
      </w:rPr>
      <w:tblPr/>
      <w:tcPr>
        <w:tcBorders>
          <w:top w:val="nil"/>
          <w:bottom w:val="single" w:sz="8" w:space="0" w:color="4F81BD" w:themeColor="accent1"/>
        </w:tcBorders>
      </w:tcPr>
    </w:tblStylePr>
    <w:tblStylePr w:type="lastRow">
      <w:rPr>
        <w:b/>
        <w:bCs/>
        <w:color w:val="1F497D" w:themeColor="text2"/>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eastAsia="Arial" w:cs="Arial"/>
        <w:sz w:val="20"/>
        <w:szCs w:val="20"/>
      </w:rPr>
      <w:tblPr/>
      <w:tcPr>
        <w:tcBorders>
          <w:top w:val="nil"/>
          <w:bottom w:val="single" w:sz="8" w:space="0" w:color="C0504D" w:themeColor="accent2"/>
        </w:tcBorders>
      </w:tcPr>
    </w:tblStylePr>
    <w:tblStylePr w:type="lastRow">
      <w:rPr>
        <w:b/>
        <w:bCs/>
        <w:color w:val="1F497D" w:themeColor="text2"/>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eastAsia="Arial" w:cs="Arial"/>
        <w:sz w:val="20"/>
        <w:szCs w:val="20"/>
      </w:rPr>
      <w:tblPr/>
      <w:tcPr>
        <w:tcBorders>
          <w:top w:val="nil"/>
          <w:bottom w:val="single" w:sz="8" w:space="0" w:color="9BBB59" w:themeColor="accent3"/>
        </w:tcBorders>
      </w:tcPr>
    </w:tblStylePr>
    <w:tblStylePr w:type="lastRow">
      <w:rPr>
        <w:b/>
        <w:bCs/>
        <w:color w:val="1F497D" w:themeColor="text2"/>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eastAsia="Arial" w:cs="Arial"/>
        <w:sz w:val="20"/>
        <w:szCs w:val="20"/>
      </w:rPr>
      <w:tblPr/>
      <w:tcPr>
        <w:tcBorders>
          <w:top w:val="nil"/>
          <w:bottom w:val="single" w:sz="8" w:space="0" w:color="8064A2" w:themeColor="accent4"/>
        </w:tcBorders>
      </w:tcPr>
    </w:tblStylePr>
    <w:tblStylePr w:type="lastRow">
      <w:rPr>
        <w:b/>
        <w:bCs/>
        <w:color w:val="1F497D" w:themeColor="text2"/>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eastAsia="Arial" w:cs="Arial"/>
        <w:sz w:val="20"/>
        <w:szCs w:val="20"/>
      </w:rPr>
      <w:tblPr/>
      <w:tcPr>
        <w:tcBorders>
          <w:top w:val="nil"/>
          <w:bottom w:val="single" w:sz="8" w:space="0" w:color="4BACC6" w:themeColor="accent5"/>
        </w:tcBorders>
      </w:tcPr>
    </w:tblStylePr>
    <w:tblStylePr w:type="lastRow">
      <w:rPr>
        <w:b/>
        <w:bCs/>
        <w:color w:val="1F497D" w:themeColor="text2"/>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eastAsia="Arial" w:cs="Arial"/>
        <w:sz w:val="20"/>
        <w:szCs w:val="20"/>
      </w:rPr>
      <w:tblPr/>
      <w:tcPr>
        <w:tcBorders>
          <w:top w:val="nil"/>
          <w:bottom w:val="single" w:sz="8" w:space="0" w:color="F79646" w:themeColor="accent6"/>
        </w:tcBorders>
      </w:tcPr>
    </w:tblStylePr>
    <w:tblStylePr w:type="lastRow">
      <w:rPr>
        <w:b/>
        <w:bCs/>
        <w:color w:val="1F497D" w:themeColor="text2"/>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Fonts w:ascii="Arial" w:hAnsi="Arial" w:eastAsia="Arial" w:cs="Arial"/>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Fonts w:ascii="Arial" w:hAnsi="Arial" w:eastAsia="Arial" w:cs="Arial"/>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Fonts w:ascii="Arial" w:hAnsi="Arial" w:eastAsia="Arial" w:cs="Arial"/>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Fonts w:ascii="Arial" w:hAnsi="Arial" w:eastAsia="Arial" w:cs="Arial"/>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Fonts w:ascii="Arial" w:hAnsi="Arial" w:eastAsia="Arial" w:cs="Arial"/>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Fonts w:ascii="Arial" w:hAnsi="Arial" w:eastAsia="Arial" w:cs="Arial"/>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Fonts w:ascii="Arial" w:hAnsi="Arial" w:eastAsia="Arial" w:cs="Arial"/>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0"/>
      <w:szCs w:val="20"/>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404040" w:themeColor="tex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0"/>
      <w:szCs w:val="20"/>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BA0CD" w:themeColor="accen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0"/>
      <w:szCs w:val="20"/>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CF7B79" w:themeColor="accent2"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0"/>
      <w:szCs w:val="20"/>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B3CC82" w:themeColor="accent3"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0"/>
      <w:szCs w:val="20"/>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9F8AB9" w:themeColor="accent4"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0"/>
      <w:szCs w:val="20"/>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8C0D4" w:themeColor="accent5"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0"/>
      <w:szCs w:val="20"/>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F9B074" w:themeColor="accent6"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Arial" w:hAnsi="Arial" w:eastAsia="Arial" w:cs="Arial"/>
        <w:sz w:val="20"/>
        <w:szCs w:val="20"/>
      </w:rPr>
      <w:tblPr/>
      <w:tcPr>
        <w:shd w:val="clear" w:color="auto" w:fill="E6E6E6" w:themeFill="tex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Arial" w:hAnsi="Arial" w:eastAsia="Arial" w:cs="Arial"/>
        <w:sz w:val="20"/>
        <w:szCs w:val="20"/>
      </w:rPr>
      <w:tblPr/>
      <w:tcPr>
        <w:shd w:val="clear" w:color="auto" w:fill="EDF2F8" w:themeFill="accen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Arial" w:hAnsi="Arial" w:eastAsia="Arial" w:cs="Arial"/>
        <w:sz w:val="20"/>
        <w:szCs w:val="20"/>
      </w:rPr>
      <w:tblPr/>
      <w:tcPr>
        <w:shd w:val="clear" w:color="auto" w:fill="F8EDED" w:themeFill="accent2"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Arial" w:hAnsi="Arial" w:eastAsia="Arial" w:cs="Arial"/>
        <w:sz w:val="20"/>
        <w:szCs w:val="20"/>
      </w:rPr>
      <w:tblPr/>
      <w:tcPr>
        <w:shd w:val="clear" w:color="auto" w:fill="F5F8EE" w:themeFill="accent3"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Arial" w:hAnsi="Arial" w:eastAsia="Arial" w:cs="Arial"/>
        <w:sz w:val="20"/>
        <w:szCs w:val="20"/>
      </w:rPr>
      <w:tblPr/>
      <w:tcPr>
        <w:shd w:val="clear" w:color="auto" w:fill="F2EFF6" w:themeFill="accent4"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Arial" w:hAnsi="Arial" w:eastAsia="Arial" w:cs="Arial"/>
        <w:sz w:val="20"/>
        <w:szCs w:val="20"/>
      </w:rPr>
      <w:tblPr/>
      <w:tcPr>
        <w:shd w:val="clear" w:color="auto" w:fill="EDF6F9" w:themeFill="accent5"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Arial" w:hAnsi="Arial" w:eastAsia="Arial" w:cs="Arial"/>
        <w:sz w:val="20"/>
        <w:szCs w:val="20"/>
      </w:rPr>
      <w:tblPr/>
      <w:tcPr>
        <w:shd w:val="clear" w:color="auto" w:fill="FEF4EC" w:themeFill="accent6"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0"/>
      <w:szCs w:val="20"/>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0"/>
      <w:szCs w:val="20"/>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0"/>
      <w:szCs w:val="20"/>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0"/>
      <w:szCs w:val="20"/>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0"/>
      <w:szCs w:val="20"/>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0"/>
      <w:szCs w:val="20"/>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0"/>
      <w:szCs w:val="20"/>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000000" w:themeFill="tex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F81BD" w:themeFill="accen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C0504D" w:themeFill="accent2"/>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9BBB59" w:themeFill="accent3"/>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8064A2" w:themeFill="accent4"/>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BACC6" w:themeFill="accent5"/>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F79646" w:themeFill="accent6"/>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Arial" w:hAnsi="Arial" w:eastAsia="Arial" w:cs="Arial"/>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Arial" w:hAnsi="Arial" w:eastAsia="Arial" w:cs="Arial"/>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Arial" w:hAnsi="Arial" w:eastAsia="Arial" w:cs="Arial"/>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Arial" w:hAnsi="Arial" w:eastAsia="Arial" w:cs="Arial"/>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6E6E6" w:themeFill="tex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2F8" w:themeFill="accen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8EDED" w:themeFill="accent2"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5F8EE" w:themeFill="accent3"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2EFF6" w:themeFill="accent4"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6F9" w:themeFill="accent5"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EF4EC" w:themeFill="accent6"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Arial" w:hAnsi="Arial" w:eastAsia="Arial" w:cs="Arial"/>
        <w:sz w:val="20"/>
        <w:szCs w:val="20"/>
      </w:rPr>
      <w:tblPr/>
      <w:tcPr>
        <w:shd w:val="clear" w:color="auto" w:fill="999999" w:themeFill="text1" w:themeFillTint="66"/>
      </w:tcPr>
    </w:tblStylePr>
    <w:tblStylePr w:type="lastRow">
      <w:rPr>
        <w:b/>
        <w:bCs/>
        <w:color w:val="000000" w:themeColor="text1"/>
        <w:rFonts w:ascii="Arial" w:hAnsi="Arial" w:eastAsia="Arial" w:cs="Arial"/>
        <w:sz w:val="20"/>
        <w:szCs w:val="20"/>
      </w:rPr>
      <w:tblPr/>
      <w:tcPr>
        <w:shd w:val="clear" w:color="auto" w:fill="999999" w:themeFill="text1" w:themeFillTint="66"/>
      </w:tcPr>
    </w:tblStylePr>
    <w:tblStylePr w:type="firstCol">
      <w:rPr>
        <w:color w:val="FFFFFF" w:themeColor="background1"/>
        <w:rFonts w:ascii="Arial" w:hAnsi="Arial" w:eastAsia="Arial" w:cs="Arial"/>
        <w:sz w:val="20"/>
        <w:szCs w:val="20"/>
      </w:rPr>
      <w:tblPr/>
      <w:tcPr>
        <w:shd w:val="clear" w:color="auto" w:fill="000000" w:themeFill="text1" w:themeFillShade="BF"/>
      </w:tcPr>
    </w:tblStylePr>
    <w:tblStylePr w:type="lastCol">
      <w:rPr>
        <w:color w:val="FFFFFF" w:themeColor="background1"/>
        <w:rFonts w:ascii="Arial" w:hAnsi="Arial" w:eastAsia="Arial" w:cs="Arial"/>
        <w:sz w:val="20"/>
        <w:szCs w:val="2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Arial" w:hAnsi="Arial" w:eastAsia="Arial" w:cs="Arial"/>
        <w:sz w:val="20"/>
        <w:szCs w:val="20"/>
      </w:rPr>
      <w:tblPr/>
      <w:tcPr>
        <w:shd w:val="clear" w:color="auto" w:fill="B8CCE4" w:themeFill="accent1" w:themeFillTint="66"/>
      </w:tcPr>
    </w:tblStylePr>
    <w:tblStylePr w:type="lastRow">
      <w:rPr>
        <w:b/>
        <w:bCs/>
        <w:color w:val="000000" w:themeColor="text1"/>
        <w:rFonts w:ascii="Arial" w:hAnsi="Arial" w:eastAsia="Arial" w:cs="Arial"/>
        <w:sz w:val="20"/>
        <w:szCs w:val="20"/>
      </w:rPr>
      <w:tblPr/>
      <w:tcPr>
        <w:shd w:val="clear" w:color="auto" w:fill="B8CCE4" w:themeFill="accent1" w:themeFillTint="66"/>
      </w:tcPr>
    </w:tblStylePr>
    <w:tblStylePr w:type="firstCol">
      <w:rPr>
        <w:color w:val="FFFFFF" w:themeColor="background1"/>
        <w:rFonts w:ascii="Arial" w:hAnsi="Arial" w:eastAsia="Arial" w:cs="Arial"/>
        <w:sz w:val="20"/>
        <w:szCs w:val="20"/>
      </w:rPr>
      <w:tblPr/>
      <w:tcPr>
        <w:shd w:val="clear" w:color="auto" w:fill="365F91" w:themeFill="accent1" w:themeFillShade="BF"/>
      </w:tcPr>
    </w:tblStylePr>
    <w:tblStylePr w:type="lastCol">
      <w:rPr>
        <w:color w:val="FFFFFF" w:themeColor="background1"/>
        <w:rFonts w:ascii="Arial" w:hAnsi="Arial" w:eastAsia="Arial" w:cs="Arial"/>
        <w:sz w:val="20"/>
        <w:szCs w:val="2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Arial" w:hAnsi="Arial" w:eastAsia="Arial" w:cs="Arial"/>
        <w:sz w:val="20"/>
        <w:szCs w:val="20"/>
      </w:rPr>
      <w:tblPr/>
      <w:tcPr>
        <w:shd w:val="clear" w:color="auto" w:fill="E5B8B7" w:themeFill="accent2" w:themeFillTint="66"/>
      </w:tcPr>
    </w:tblStylePr>
    <w:tblStylePr w:type="lastRow">
      <w:rPr>
        <w:b/>
        <w:bCs/>
        <w:color w:val="000000" w:themeColor="text1"/>
        <w:rFonts w:ascii="Arial" w:hAnsi="Arial" w:eastAsia="Arial" w:cs="Arial"/>
        <w:sz w:val="20"/>
        <w:szCs w:val="20"/>
      </w:rPr>
      <w:tblPr/>
      <w:tcPr>
        <w:shd w:val="clear" w:color="auto" w:fill="E5B8B7" w:themeFill="accent2" w:themeFillTint="66"/>
      </w:tcPr>
    </w:tblStylePr>
    <w:tblStylePr w:type="firstCol">
      <w:rPr>
        <w:color w:val="FFFFFF" w:themeColor="background1"/>
        <w:rFonts w:ascii="Arial" w:hAnsi="Arial" w:eastAsia="Arial" w:cs="Arial"/>
        <w:sz w:val="20"/>
        <w:szCs w:val="20"/>
      </w:rPr>
      <w:tblPr/>
      <w:tcPr>
        <w:shd w:val="clear" w:color="auto" w:fill="943634" w:themeFill="accent2" w:themeFillShade="BF"/>
      </w:tcPr>
    </w:tblStylePr>
    <w:tblStylePr w:type="lastCol">
      <w:rPr>
        <w:color w:val="FFFFFF" w:themeColor="background1"/>
        <w:rFonts w:ascii="Arial" w:hAnsi="Arial" w:eastAsia="Arial" w:cs="Arial"/>
        <w:sz w:val="20"/>
        <w:szCs w:val="2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Arial" w:hAnsi="Arial" w:eastAsia="Arial" w:cs="Arial"/>
        <w:sz w:val="20"/>
        <w:szCs w:val="20"/>
      </w:rPr>
      <w:tblPr/>
      <w:tcPr>
        <w:shd w:val="clear" w:color="auto" w:fill="D6E3BC" w:themeFill="accent3" w:themeFillTint="66"/>
      </w:tcPr>
    </w:tblStylePr>
    <w:tblStylePr w:type="lastRow">
      <w:rPr>
        <w:b/>
        <w:bCs/>
        <w:color w:val="000000" w:themeColor="text1"/>
        <w:rFonts w:ascii="Arial" w:hAnsi="Arial" w:eastAsia="Arial" w:cs="Arial"/>
        <w:sz w:val="20"/>
        <w:szCs w:val="20"/>
      </w:rPr>
      <w:tblPr/>
      <w:tcPr>
        <w:shd w:val="clear" w:color="auto" w:fill="D6E3BC" w:themeFill="accent3" w:themeFillTint="66"/>
      </w:tcPr>
    </w:tblStylePr>
    <w:tblStylePr w:type="firstCol">
      <w:rPr>
        <w:color w:val="FFFFFF" w:themeColor="background1"/>
        <w:rFonts w:ascii="Arial" w:hAnsi="Arial" w:eastAsia="Arial" w:cs="Arial"/>
        <w:sz w:val="20"/>
        <w:szCs w:val="20"/>
      </w:rPr>
      <w:tblPr/>
      <w:tcPr>
        <w:shd w:val="clear" w:color="auto" w:fill="76923C" w:themeFill="accent3" w:themeFillShade="BF"/>
      </w:tcPr>
    </w:tblStylePr>
    <w:tblStylePr w:type="lastCol">
      <w:rPr>
        <w:color w:val="FFFFFF" w:themeColor="background1"/>
        <w:rFonts w:ascii="Arial" w:hAnsi="Arial" w:eastAsia="Arial" w:cs="Arial"/>
        <w:sz w:val="20"/>
        <w:szCs w:val="2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Arial" w:hAnsi="Arial" w:eastAsia="Arial" w:cs="Arial"/>
        <w:sz w:val="20"/>
        <w:szCs w:val="20"/>
      </w:rPr>
      <w:tblPr/>
      <w:tcPr>
        <w:shd w:val="clear" w:color="auto" w:fill="CCC0D9" w:themeFill="accent4" w:themeFillTint="66"/>
      </w:tcPr>
    </w:tblStylePr>
    <w:tblStylePr w:type="lastRow">
      <w:rPr>
        <w:b/>
        <w:bCs/>
        <w:color w:val="000000" w:themeColor="text1"/>
        <w:rFonts w:ascii="Arial" w:hAnsi="Arial" w:eastAsia="Arial" w:cs="Arial"/>
        <w:sz w:val="20"/>
        <w:szCs w:val="20"/>
      </w:rPr>
      <w:tblPr/>
      <w:tcPr>
        <w:shd w:val="clear" w:color="auto" w:fill="CCC0D9" w:themeFill="accent4" w:themeFillTint="66"/>
      </w:tcPr>
    </w:tblStylePr>
    <w:tblStylePr w:type="firstCol">
      <w:rPr>
        <w:color w:val="FFFFFF" w:themeColor="background1"/>
        <w:rFonts w:ascii="Arial" w:hAnsi="Arial" w:eastAsia="Arial" w:cs="Arial"/>
        <w:sz w:val="20"/>
        <w:szCs w:val="20"/>
      </w:rPr>
      <w:tblPr/>
      <w:tcPr>
        <w:shd w:val="clear" w:color="auto" w:fill="5F497A" w:themeFill="accent4" w:themeFillShade="BF"/>
      </w:tcPr>
    </w:tblStylePr>
    <w:tblStylePr w:type="lastCol">
      <w:rPr>
        <w:color w:val="FFFFFF" w:themeColor="background1"/>
        <w:rFonts w:ascii="Arial" w:hAnsi="Arial" w:eastAsia="Arial" w:cs="Arial"/>
        <w:sz w:val="20"/>
        <w:szCs w:val="2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Arial" w:hAnsi="Arial" w:eastAsia="Arial" w:cs="Arial"/>
        <w:sz w:val="20"/>
        <w:szCs w:val="20"/>
      </w:rPr>
      <w:tblPr/>
      <w:tcPr>
        <w:shd w:val="clear" w:color="auto" w:fill="B6DDE8" w:themeFill="accent5" w:themeFillTint="66"/>
      </w:tcPr>
    </w:tblStylePr>
    <w:tblStylePr w:type="lastRow">
      <w:rPr>
        <w:b/>
        <w:bCs/>
        <w:color w:val="000000" w:themeColor="text1"/>
        <w:rFonts w:ascii="Arial" w:hAnsi="Arial" w:eastAsia="Arial" w:cs="Arial"/>
        <w:sz w:val="20"/>
        <w:szCs w:val="20"/>
      </w:rPr>
      <w:tblPr/>
      <w:tcPr>
        <w:shd w:val="clear" w:color="auto" w:fill="B6DDE8" w:themeFill="accent5" w:themeFillTint="66"/>
      </w:tcPr>
    </w:tblStylePr>
    <w:tblStylePr w:type="firstCol">
      <w:rPr>
        <w:color w:val="FFFFFF" w:themeColor="background1"/>
        <w:rFonts w:ascii="Arial" w:hAnsi="Arial" w:eastAsia="Arial" w:cs="Arial"/>
        <w:sz w:val="20"/>
        <w:szCs w:val="20"/>
      </w:rPr>
      <w:tblPr/>
      <w:tcPr>
        <w:shd w:val="clear" w:color="auto" w:fill="31849B" w:themeFill="accent5" w:themeFillShade="BF"/>
      </w:tcPr>
    </w:tblStylePr>
    <w:tblStylePr w:type="lastCol">
      <w:rPr>
        <w:color w:val="FFFFFF" w:themeColor="background1"/>
        <w:rFonts w:ascii="Arial" w:hAnsi="Arial" w:eastAsia="Arial" w:cs="Arial"/>
        <w:sz w:val="20"/>
        <w:szCs w:val="2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Arial" w:hAnsi="Arial" w:eastAsia="Arial" w:cs="Arial"/>
        <w:sz w:val="20"/>
        <w:szCs w:val="20"/>
      </w:rPr>
      <w:tblPr/>
      <w:tcPr>
        <w:shd w:val="clear" w:color="auto" w:fill="FBD4B4" w:themeFill="accent6" w:themeFillTint="66"/>
      </w:tcPr>
    </w:tblStylePr>
    <w:tblStylePr w:type="lastRow">
      <w:rPr>
        <w:b/>
        <w:bCs/>
        <w:color w:val="000000" w:themeColor="text1"/>
        <w:rFonts w:ascii="Arial" w:hAnsi="Arial" w:eastAsia="Arial" w:cs="Arial"/>
        <w:sz w:val="20"/>
        <w:szCs w:val="20"/>
      </w:rPr>
      <w:tblPr/>
      <w:tcPr>
        <w:shd w:val="clear" w:color="auto" w:fill="FBD4B4" w:themeFill="accent6" w:themeFillTint="66"/>
      </w:tcPr>
    </w:tblStylePr>
    <w:tblStylePr w:type="firstCol">
      <w:rPr>
        <w:color w:val="FFFFFF" w:themeColor="background1"/>
        <w:rFonts w:ascii="Arial" w:hAnsi="Arial" w:eastAsia="Arial" w:cs="Arial"/>
        <w:sz w:val="20"/>
        <w:szCs w:val="20"/>
      </w:rPr>
      <w:tblPr/>
      <w:tcPr>
        <w:shd w:val="clear" w:color="auto" w:fill="E36C0A" w:themeFill="accent6" w:themeFillShade="BF"/>
      </w:tcPr>
    </w:tblStylePr>
    <w:tblStylePr w:type="lastCol">
      <w:rPr>
        <w:color w:val="FFFFFF" w:themeColor="background1"/>
        <w:rFonts w:ascii="Arial" w:hAnsi="Arial" w:eastAsia="Arial" w:cs="Arial"/>
        <w:sz w:val="20"/>
        <w:szCs w:val="2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Fonts w:ascii="Arial" w:hAnsi="Arial" w:eastAsia="Arial" w:cs="Arial"/>
      <w:sz w:val="20"/>
      <w:szCs w:val="20"/>
    </w:rPr>
  </w:style>
  <w:style w:type="paragraph" w:styleId="FootnoteText">
    <w:name w:val="footnote text"/>
    <w:basedOn w:val="Normal"/>
    <w:link w:val="FootnoteTextChar"/>
    <w:uiPriority w:val="99"/>
    <w:unhideWhenUsed/>
    <w:rsid w:val="008F64FC"/>
    <w:pPr>
      <w:spacing w:after="200" w:line="276" w:lineRule="auto"/>
    </w:pPr>
    <w:rPr>
      <w:rFonts w:ascii="Arial" w:hAnsi="Arial" w:eastAsia="Arial" w:cs="Arial"/>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Arial" w:hAnsi="Arial" w:eastAsia="Arial" w:cs="Arial"/>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Arial" w:hAnsi="Arial" w:eastAsia="Arial" w:cs="Arial"/>
      <w:color w:val="000000"/>
      <w:sz w:val="20"/>
      <w:szCs w:val="20"/>
      <w:lang w:val="en-NA"/>
    </w:rPr>
  </w:style>
  <w:style w:type="paragraph" w:customStyle="1" w:styleId="BodyA">
    <w:name w:val="Body A"/>
    <w:rsid w:val="00885E26"/>
    <w:pPr>
      <w:spacing w:after="100"/>
    </w:pPr>
    <w:rPr>
      <w:rFonts w:ascii="Arial" w:hAnsi="Arial" w:eastAsia="Arial" w:cs="Arial"/>
      <w:color w:val="000000"/>
      <w:sz w:val="20"/>
      <w:szCs w:val="20"/>
      <w:u w:color="000000"/>
    </w:rPr>
  </w:style>
  <w:style w:type="character" w:customStyle="1" w:styleId="None">
    <w:rPr>
      <w:rFonts w:ascii="Arial" w:hAnsi="Arial" w:eastAsia="Arial" w:cs="Arial"/>
      <w:sz w:val="20"/>
      <w:szCs w:val="20"/>
    </w:rPr>
    <w:name w:val="None"/>
    <w:rsid w:val="00885E26"/>
  </w:style>
  <w:style w:type="paragraph" w:customStyle="1" w:styleId="p1">
    <w:name w:val="p1"/>
    <w:basedOn w:val="Normal"/>
    <w:rsid w:val="00885E26"/>
    <w:pPr>
      <w:spacing w:after="0" w:line="240" w:lineRule="auto"/>
    </w:pPr>
    <w:rPr>
      <w:rFonts w:ascii="Arial" w:hAnsi="Arial" w:eastAsia="Arial" w:cs="Arial"/>
      <w:sz w:val="20"/>
      <w:szCs w:val="20"/>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amberofmines.org.na/wp-content/uploads/2024/04/2023-Chamber-of-Mines-Annual-Review.-Final-Web.pdf" TargetMode="External"/><Relationship Id="rId21" Type="http://schemas.openxmlformats.org/officeDocument/2006/relationships/hyperlink" Target="https://unesdoc.unesco.org/ark:/48223/pf0000265552" TargetMode="External"/><Relationship Id="rId34" Type="http://schemas.openxmlformats.org/officeDocument/2006/relationships/hyperlink" Target="https://www.metso.com/globalassets/insights/ebooks/mo-basics-in-mineral-processing-handbook_lowres.pdf" TargetMode="External"/><Relationship Id="rId42" Type="http://schemas.openxmlformats.org/officeDocument/2006/relationships/hyperlink" Target="https://doi.org/10.3390/min11050533" TargetMode="External"/><Relationship Id="rId47" Type="http://schemas.openxmlformats.org/officeDocument/2006/relationships/hyperlink" Target="https://smemi.personifycloud.com/PersonifyEbusiness/Store/SME-Mineral-Processing--Extractive-Metallurgy-Handbook/ProductDetail/2829543" TargetMode="External"/><Relationship Id="rId50" Type="http://schemas.openxmlformats.org/officeDocument/2006/relationships/hyperlink" Target="https://www.iso.org/standard/83054.html" TargetMode="External"/><Relationship Id="rId55" Type="http://schemas.openxmlformats.org/officeDocument/2006/relationships/hyperlink" Target="https://doi.org/10.3390/min11050533" TargetMode="External"/><Relationship Id="rId63" Type="http://schemas.openxmlformats.org/officeDocument/2006/relationships/hyperlink" Target="https://www.mme.gov.na/files/publications/534_MIME%20SP%202025_26%20-%202029_30.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libreoffice.org/en/GS248/GS24800-Preface.html" TargetMode="External"/><Relationship Id="rId29" Type="http://schemas.openxmlformats.org/officeDocument/2006/relationships/hyperlink" Target="https://chamberofmines.org.na/wp-content/uploads/2024/04/2023-Chamber-of-Mines-Annual-Review.-Final-Web.pdf" TargetMode="External"/><Relationship Id="rId11" Type="http://schemas.openxmlformats.org/officeDocument/2006/relationships/hyperlink" Target="https://www.vanschaiknet.com/wp-content/uploads/2024/04/DIGITAL-CATALOGUE-2023.pdf" TargetMode="External"/><Relationship Id="rId24" Type="http://schemas.openxmlformats.org/officeDocument/2006/relationships/hyperlink" Target="https://the-eis.com/elibrary/sites/default/files/downloads/literature/Best%20Practice%20Guide%20in%20Mining%20Part%204_Mining%20and%20Processing%20Operations_2019.pdf" TargetMode="External"/><Relationship Id="rId32" Type="http://schemas.openxmlformats.org/officeDocument/2006/relationships/hyperlink" Target="https://hub.icmm.com/website/publications/pdfs/environmental-stewardship/2021/guidance_tailings-management.pdf" TargetMode="External"/><Relationship Id="rId37" Type="http://schemas.openxmlformats.org/officeDocument/2006/relationships/hyperlink" Target="https://the-eis.com/elibrary/sites/default/files/downloads/literature/Best%20Practice%20Guide%20in%20Mining%20Part%204_Mining%20and%20Processing%20Operations_2019.pdf" TargetMode="External"/><Relationship Id="rId40"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hub.icmm.com/website/publications/pdfs/environmental-stewardship/2021/guidance_tailings-management.pdf" TargetMode="External"/><Relationship Id="rId53" Type="http://schemas.openxmlformats.org/officeDocument/2006/relationships/hyperlink" Target="https://smemi.personifycloud.com/PersonifyEbusiness/Store/SME-Mineral-Processing--Extractive-Metallurgy-Handbook/ProductDetail/2829543" TargetMode="External"/><Relationship Id="rId58" Type="http://schemas.openxmlformats.org/officeDocument/2006/relationships/hyperlink" Target="https://regqs.saqa.org.za/viewQualification.php?id=124365"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pc.gov.na/wp-content/uploads/2025/07/NDP6-Booklet.pdf" TargetMode="External"/><Relationship Id="rId19"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14" Type="http://schemas.openxmlformats.org/officeDocument/2006/relationships/hyperlink" Target="https://unesdoc.unesco.org/ark:/48223/pf0000265552" TargetMode="External"/><Relationship Id="rId22" Type="http://schemas.openxmlformats.org/officeDocument/2006/relationships/hyperlink" Target="https://www.metso.com/globalassets/insights/ebooks/mo-basics-in-mineral-processing-handbook_lowres.pdf" TargetMode="External"/><Relationship Id="rId27" Type="http://schemas.openxmlformats.org/officeDocument/2006/relationships/hyperlink" Target="https://www.ilo.org/resource/other/code-practice-safety-and-health-opencast-mines" TargetMode="External"/><Relationship Id="rId30" Type="http://schemas.openxmlformats.org/officeDocument/2006/relationships/hyperlink" Target="https://stacks.cdc.gov/view/cdc/76769" TargetMode="External"/><Relationship Id="rId35" Type="http://schemas.openxmlformats.org/officeDocument/2006/relationships/hyperlink" Target="https://smemi.personifycloud.com/PersonifyEbusiness/Store/SME-Mineral-Processing--Extractive-Metallurgy-Handbook/ProductDetail/2829543" TargetMode="External"/><Relationship Id="rId43" Type="http://schemas.openxmlformats.org/officeDocument/2006/relationships/hyperlink" Target="https://the-eis.com/elibrary/sites/default/files/downloads/literature/Best%20Practice%20Guide%20in%20Mining%20Part%204_Mining%20and%20Processing%20Operations_2019.pdf" TargetMode="External"/><Relationship Id="rId48" Type="http://schemas.openxmlformats.org/officeDocument/2006/relationships/hyperlink" Target="https://the-eis.com/elibrary/sites/default/files/downloads/literature/Best%20Practice%20Guide%20in%20Mining%20Part%204_Mining%20and%20Processing%20Operations_2019.pdf" TargetMode="External"/><Relationship Id="rId56" Type="http://schemas.openxmlformats.org/officeDocument/2006/relationships/hyperlink" Target="https://chamberofmines.org.na/wp-content/uploads/2024/04/2023-Chamber-of-Mines-Annual-Review.-Final-Web.pdf" TargetMode="External"/><Relationship Id="rId64" Type="http://schemas.openxmlformats.org/officeDocument/2006/relationships/hyperlink" Target="https://meft.gov.na/files/downloads/749_Enivronmental%20Management%20Act%202007.pdf" TargetMode="External"/><Relationship Id="rId8" Type="http://schemas.openxmlformats.org/officeDocument/2006/relationships/image" Target="media/image1.jpg"/><Relationship Id="rId51" Type="http://schemas.openxmlformats.org/officeDocument/2006/relationships/hyperlink" Target="https://stacks.cdc.gov/view/cdc/76769" TargetMode="External"/><Relationship Id="rId3" Type="http://schemas.openxmlformats.org/officeDocument/2006/relationships/styles" Target="styles.xml"/><Relationship Id="rId12" Type="http://schemas.openxmlformats.org/officeDocument/2006/relationships/hyperlink" Target="https://openlibrary-repo.ecampusontario.ca/jspui/bitstream/123456789/557/15/Communication-at-Work-1550774380._print.pdf" TargetMode="External"/><Relationship Id="rId17" Type="http://schemas.openxmlformats.org/officeDocument/2006/relationships/hyperlink" Target="https://www.unesco.org/en/articles/ai-competency-framework-students" TargetMode="External"/><Relationship Id="rId25" Type="http://schemas.openxmlformats.org/officeDocument/2006/relationships/hyperlink" Target="https://doi.org/10.3390/min11050533" TargetMode="External"/><Relationship Id="rId33" Type="http://schemas.openxmlformats.org/officeDocument/2006/relationships/hyperlink" Target="https://www.metso.com/globalassets/insights/ebooks/mo-basics-in-mineral-processing-handbook_lowres.pdf" TargetMode="External"/><Relationship Id="rId38" Type="http://schemas.openxmlformats.org/officeDocument/2006/relationships/hyperlink" Target="https://mdpi-res.com/bookfiles/book/4263/Comminution_in_the_Minerals_Industry.pdf?v=1737857030" TargetMode="External"/><Relationship Id="rId46" Type="http://schemas.openxmlformats.org/officeDocument/2006/relationships/hyperlink" Target="https://www.metso.com/globalassets/insights/ebooks/mo-basics-in-mineral-processing-handbook_lowres.pdf" TargetMode="External"/><Relationship Id="rId59" Type="http://schemas.openxmlformats.org/officeDocument/2006/relationships/hyperlink" Target="https://www.oranjemund-tc.com/page/about-us/" TargetMode="External"/><Relationship Id="rId20" Type="http://schemas.openxmlformats.org/officeDocument/2006/relationships/hyperlink" Target="https://www.gov.za/sites/default/files/gcis_document/202009/43730gen513.pdf" TargetMode="External"/><Relationship Id="rId41" Type="http://schemas.openxmlformats.org/officeDocument/2006/relationships/hyperlink" Target="https://smemi.personifycloud.com/PersonifyEbusiness/Store/SME-Mineral-Processing--Extractive-Metallurgy-Handbook/ProductDetail/2829543" TargetMode="External"/><Relationship Id="rId54" Type="http://schemas.openxmlformats.org/officeDocument/2006/relationships/hyperlink" Target="https://the-eis.com/elibrary/sites/default/files/downloads/literature/Best%20Practice%20Guide%20in%20Mining%20Part%204_Mining%20and%20Processing%20Operations_2019.pdf" TargetMode="External"/><Relationship Id="rId62" Type="http://schemas.openxmlformats.org/officeDocument/2006/relationships/hyperlink" Target="https://op.gov.na/documents/1697384/6465069/NDP6-Policy-Document.pdf/c4046436-f16c-ba9e-33d6-3263485e3522?t=175318978146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lo.org.za/scielo.php?pid=S2957-79502025000300002&amp;script=sci_arttext" TargetMode="External"/><Relationship Id="rId23" Type="http://schemas.openxmlformats.org/officeDocument/2006/relationships/hyperlink" Target="https://smemi.personifycloud.com/PersonifyEbusiness/Store/SME-Mineral-Processing--Extractive-Metallurgy-Handbook/ProductDetail/2829543" TargetMode="External"/><Relationship Id="rId28" Type="http://schemas.openxmlformats.org/officeDocument/2006/relationships/hyperlink" Target="https://the-eis.com/elibrary/sites/default/files/downloads/literature/Best%20Practice%20Guide%20in%20Mining%20Part%204_Mining%20and%20Processing%20Operations_2019.pdf" TargetMode="External"/><Relationship Id="rId36" Type="http://schemas.openxmlformats.org/officeDocument/2006/relationships/hyperlink" Target="https://doi.org/10.3390/min11050533" TargetMode="External"/><Relationship Id="rId49" Type="http://schemas.openxmlformats.org/officeDocument/2006/relationships/hyperlink" Target="https://chamberofmines.org.na/wp-content/uploads/2024/04/2023-Chamber-of-Mines-Annual-Review.-Final-Web.pdf" TargetMode="External"/><Relationship Id="rId57" Type="http://schemas.openxmlformats.org/officeDocument/2006/relationships/hyperlink" Target="https://www.ilo.org/resource/other/code-practice-safety-and-health-opencast-mines" TargetMode="External"/><Relationship Id="rId10" Type="http://schemas.openxmlformats.org/officeDocument/2006/relationships/hyperlink" Target="https://www.vanschaiknet.com/catalogue/communicating-work/" TargetMode="External"/><Relationship Id="rId31" Type="http://schemas.openxmlformats.org/officeDocument/2006/relationships/hyperlink" Target="https://www.ilo.org/resource/other/code-practice-safety-and-health-opencast-mines" TargetMode="External"/><Relationship Id="rId44"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www.metso.com/globalassets/insights/ebooks/mo-basics-in-mineral-processing-handbook_lowres.pdf" TargetMode="External"/><Relationship Id="rId60" Type="http://schemas.openxmlformats.org/officeDocument/2006/relationships/hyperlink" Target="https://www.npc.gov.na/wp-content/uploads/2021/11/vision_2030.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openstax.org/books/writing-guide/pages/1-unit-introduction" TargetMode="External"/><Relationship Id="rId18" Type="http://schemas.openxmlformats.org/officeDocument/2006/relationships/hyperlink" Target="https://www.unesco.org/en/articles/guidance-generative-ai-education-and-research" TargetMode="External"/><Relationship Id="rId39" Type="http://schemas.openxmlformats.org/officeDocument/2006/relationships/hyperlink" Target="https://stacks.cdc.gov/view/cdc/76769" TargetMode="External"/><Relationship Id="rId67" Type="http://schemas.openxmlformats.org/officeDocument/2006/relationships/hyperlink" Target="https://eia.met.gov.na/web/upload/EA.pdf" TargetMode="External"/><Relationship Id="rId68" Type="http://schemas.openxmlformats.org/officeDocument/2006/relationships/hyperlink" Target="https://www.eia.met.gov.na/" TargetMode="External"/><Relationship Id="rId69" Type="http://schemas.openxmlformats.org/officeDocument/2006/relationships/hyperlink" Target="https://www.ifc.org/content/dam/ifc/doc/2000/2007-mining-ehs-guidelines-en.pdf" TargetMode="External"/><Relationship Id="rId70" Type="http://schemas.openxmlformats.org/officeDocument/2006/relationships/hyperlink" Target="https://the-eis.com/elibrary/sites/default/files/downloads/literature/Best%20Practice%20Guide%20in%20Mining%20Part%205_Care%20and%20Maintenance_Closure%20and%20Completion_2019.pdf" TargetMode="External"/><Relationship Id="rId71" Type="http://schemas.openxmlformats.org/officeDocument/2006/relationships/hyperlink" Target="https://www.fynboscorridors.org/media/files/Holmes_et_al_SF_2022_Restoration_Guidelines.pdf" TargetMode="External"/><Relationship Id="rId72" Type="http://schemas.openxmlformats.org/officeDocument/2006/relationships/hyperlink" Target="https://hub.icmm.com/website/publications/pdfs/environmental-stewardship/2019/guidance_integrated-mine-closure.pdf" TargetMode="External"/><Relationship Id="rId73" Type="http://schemas.openxmlformats.org/officeDocument/2006/relationships/hyperlink" Target="https://www.angloamerican.com/~/media/Files/A/Anglo-American-Group/PLC/sustainability/mine-closure-toolbox-examples-version-3-2019.pdf" TargetMode="External"/><Relationship Id="rId74" Type="http://schemas.openxmlformats.org/officeDocument/2006/relationships/hyperlink" Target="https://openknowledge.fao.org/handle/20.500.14283/i6874en" TargetMode="External"/><Relationship Id="rId7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Structure - Diploma in Mine Rehabilitation and Closure (Level 5)</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19</cp:revision>
  <dcterms:created xsi:type="dcterms:W3CDTF">2013-12-23T23:15:00Z</dcterms:created>
  <dcterms:modified xsi:type="dcterms:W3CDTF">2026-10-28T21:56:00Z</dcterms:modified>
  <cp:category/>
</cp:coreProperties>
</file>