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A255F2" w14:textId="20CF6E46" w:rsidR="00C65B51" w:rsidRPr="008B6C93" w:rsidRDefault="00885E26">
      <w:pPr>
        <w:spacing w:before="0" w:after="120"/>
        <w:jc w:val="center"/>
        <w:rPr>
          <w:rFonts w:ascii="Arial" w:hAnsi="Arial" w:eastAsia="Arial" w:cs="Arial"/>
          <w:sz w:val="20"/>
          <w:szCs w:val="20"/>
        </w:rPr>
      </w:pPr>
      <w:r w:rsidRPr="008B6C93">
        <w:rPr>
          <w:rFonts w:ascii="Arial" w:hAnsi="Arial" w:eastAsia="Arial" w:cs="Arial"/>
          <w:noProof/>
          <w:sz w:val="20"/>
          <w:szCs w:val="20"/>
        </w:rPr>
        <w:drawing>
          <wp:inline distT="0" distB="0" distL="0" distR="0" wp14:anchorId="50C627BB" wp14:editId="3EA0226C">
            <wp:extent cx="1816100" cy="1816100"/>
            <wp:effectExtent l="0" t="0" r="0" b="0"/>
            <wp:docPr id="217480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80970" name=""/>
                    <pic:cNvPicPr/>
                  </pic:nvPicPr>
                  <pic:blipFill>
                    <a:blip r:embed="rId8"/>
                    <a:stretch>
                      <a:fillRect/>
                    </a:stretch>
                  </pic:blipFill>
                  <pic:spPr>
                    <a:xfrm>
                      <a:off x="0" y="0"/>
                      <a:ext cx="1816100" cy="1816100"/>
                    </a:xfrm>
                    <a:prstGeom prst="rect">
                      <a:avLst/>
                    </a:prstGeom>
                  </pic:spPr>
                </pic:pic>
              </a:graphicData>
            </a:graphic>
          </wp:inline>
        </w:drawing>
      </w:r>
    </w:p>
    <w:p w14:paraId="4DC8069F" w14:textId="73822B24" w:rsidR="00C65B51" w:rsidRPr="008B6C93" w:rsidRDefault="00000000">
      <w:pPr>
        <w:pStyle w:val="Title"/>
        <w:spacing w:before="0" w:after="120"/>
        <w:jc w:val="center"/>
        <w:rPr>
          <w:rFonts w:ascii="Arial" w:hAnsi="Arial" w:eastAsia="Arial" w:cs="Arial"/>
          <w:b w:val="0"/>
          <w:sz w:val="20"/>
          <w:szCs w:val="20"/>
        </w:rPr>
      </w:pPr>
      <w:r w:rsidRPr="008B6C93">
        <w:rPr>
          <w:rFonts w:ascii="Arial" w:hAnsi="Arial" w:eastAsia="Arial" w:cs="Arial"/>
          <w:b w:val="0"/>
          <w:sz w:val="20"/>
          <w:szCs w:val="20"/>
        </w:rPr>
        <w:t>Oranjemund College</w:t>
      </w:r>
    </w:p>
    <w:p w14:paraId="6805B60F" w14:textId="63BDF884" w:rsidR="008F64FC" w:rsidRPr="008B6C93" w:rsidRDefault="008F64FC" w:rsidP="008F64FC">
      <w:pPr>
        <w:spacing w:before="0" w:after="120"/>
        <w:jc w:val="center"/>
        <w:rPr>
          <w:rFonts w:ascii="Arial" w:hAnsi="Arial" w:eastAsia="Arial" w:cs="Arial"/>
          <w:sz w:val="20"/>
          <w:szCs w:val="20"/>
        </w:rPr>
      </w:pPr>
      <w:r>
        <w:rPr>
          <w:rFonts w:ascii="Arial" w:hAnsi="Arial" w:eastAsia="Arial" w:cs="Arial"/>
          <w:sz w:val="20"/>
          <w:szCs w:val="20"/>
        </w:rPr>
        <w:t>Diploma in Green Hydrogen Operations (Level 5)</w:t>
      </w:r>
    </w:p>
    <w:p w14:paraId="0DB2D636" w14:textId="77777777" w:rsidR="00C65B51" w:rsidRPr="008B6C93" w:rsidRDefault="00000000">
      <w:pPr>
        <w:pStyle w:val="Subtitle"/>
        <w:spacing w:before="0" w:after="120"/>
        <w:jc w:val="center"/>
        <w:rPr>
          <w:rFonts w:ascii="Arial" w:hAnsi="Arial" w:eastAsia="Arial" w:cs="Arial"/>
          <w:sz w:val="20"/>
          <w:szCs w:val="20"/>
        </w:rPr>
      </w:pPr>
      <w:r w:rsidRPr="008B6C93">
        <w:rPr>
          <w:rFonts w:ascii="Arial" w:hAnsi="Arial" w:eastAsia="Arial" w:cs="Arial"/>
          <w:sz w:val="20"/>
          <w:szCs w:val="20"/>
        </w:rPr>
        <w:t>Qualification Structure</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9"/>
        <w:gridCol w:w="2694"/>
        <w:gridCol w:w="2948"/>
      </w:tblGrid>
      <w:tr w:rsidR="008F64FC" w:rsidRPr="008B6C93" w14:paraId="1038B9DF" w14:textId="77777777" w:rsidTr="00373D14">
        <w:trPr/>
        <w:tc>
          <w:tcPr>
            <w:tcW w:w="9781" w:type="dxa"/>
            <w:gridSpan w:val="3"/>
            <w:tcBorders>
              <w:top w:val="single" w:sz="4" w:space="0" w:color="501549"/>
              <w:left w:val="single" w:sz="4" w:space="0" w:color="501549"/>
              <w:bottom w:val="single" w:sz="4" w:space="0" w:color="501549"/>
              <w:right w:val="single" w:sz="4" w:space="0" w:color="501549"/>
            </w:tcBorders>
            <w:vAlign w:val="top"/>
          </w:tcPr>
          <w:p>
            <w:pPr>
              <w:spacing w:before="40" w:after="40" w:line="240" w:lineRule="auto"/>
              <w:jc w:val="left"/>
            </w:pPr>
            <w:r>
              <w:rPr>
                <w:rFonts w:ascii="Arial" w:hAnsi="Arial" w:eastAsia="Arial" w:cs="Arial"/>
                <w:b w:val="0"/>
                <w:sz w:val="20"/>
                <w:szCs w:val="20"/>
              </w:rPr>
              <w:t>Diploma in Green Hydrogen Operations (Level 5)</w:t>
            </w:r>
          </w:p>
        </w:tc>
      </w:tr>
      <w:tr w:rsidR="008F64FC" w:rsidRPr="008B6C93" w14:paraId="372686C7" w14:textId="77777777" w:rsidTr="00373D14">
        <w:trPr/>
        <w:tc>
          <w:tcPr>
            <w:tcW w:w="4139" w:type="dxa"/>
            <w:tcBorders>
              <w:top w:val="single" w:sz="4" w:space="0" w:color="501549"/>
              <w:left w:val="nil"/>
              <w:bottom w:val="nil"/>
              <w:right w:val="nil"/>
            </w:tcBorders>
            <w:vAlign w:val="top"/>
          </w:tcPr>
          <w:p w14:paraId="6B3F5FEC"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c>
          <w:tcPr>
            <w:tcW w:w="2694" w:type="dxa"/>
            <w:tcBorders>
              <w:top w:val="single" w:sz="4" w:space="0" w:color="501549"/>
              <w:left w:val="nil"/>
              <w:bottom w:val="nil"/>
              <w:right w:val="nil"/>
            </w:tcBorders>
            <w:vAlign w:val="top"/>
          </w:tcPr>
          <w:p w14:paraId="794FDE9C"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c>
          <w:tcPr>
            <w:tcW w:w="2948" w:type="dxa"/>
            <w:tcBorders>
              <w:top w:val="single" w:sz="4" w:space="0" w:color="501549"/>
              <w:left w:val="nil"/>
              <w:bottom w:val="nil"/>
              <w:right w:val="nil"/>
            </w:tcBorders>
            <w:vAlign w:val="top"/>
          </w:tcPr>
          <w:p w14:paraId="081C0CDF"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r>
      <w:tr w:rsidR="008F64FC" w:rsidRPr="008B6C93" w14:paraId="6789A94B" w14:textId="77777777" w:rsidTr="00373D14">
        <w:trPr/>
        <w:tc>
          <w:tcPr>
            <w:tcW w:w="4139" w:type="dxa"/>
            <w:tcBorders>
              <w:top w:val="nil"/>
              <w:left w:val="nil"/>
              <w:bottom w:val="nil"/>
              <w:right w:val="nil"/>
            </w:tcBorders>
            <w:vAlign w:val="top"/>
          </w:tcPr>
          <w:p w14:paraId="5C0D49DF" w14:textId="77777777"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Field:</w:t>
            </w:r>
            <w:r w:rsidRPr="008B6C93">
              <w:rPr>
                <w:rStyle w:val="FootnoteReference"/>
                <w:rFonts w:ascii="Arial" w:hAnsi="Arial" w:eastAsia="Arial" w:cs="Arial"/>
                <w:sz w:val="20"/>
                <w:szCs w:val="20"/>
              </w:rPr>
              <w:footnoteReference w:id="1"/>
            </w:r>
            <w:r w:rsidRPr="008B6C93">
              <w:rPr>
                <w:rFonts w:ascii="Arial" w:hAnsi="Arial" w:eastAsia="Arial" w:cs="Arial"/>
                <w:sz w:val="20"/>
                <w:szCs w:val="20"/>
              </w:rPr>
              <w:t xml:space="preserve"> </w:t>
            </w:r>
            <w:r w:rsidRPr="008B6C93">
              <w:rPr>
                <w:rFonts w:ascii="Arial" w:hAnsi="Arial" w:eastAsia="Arial" w:cs="Arial"/>
                <w:sz w:val="20"/>
                <w:szCs w:val="20"/>
              </w:rPr>
              <w:tab/>
            </w:r>
          </w:p>
        </w:tc>
        <w:tc>
          <w:tcPr>
            <w:tcW w:w="5642" w:type="dxa"/>
            <w:gridSpan w:val="2"/>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Manufacturing Engineering and Technology</w:t>
            </w:r>
          </w:p>
        </w:tc>
      </w:tr>
      <w:tr w:rsidR="008F64FC" w:rsidRPr="008B6C93" w14:paraId="196F940D" w14:textId="77777777" w:rsidTr="00373D14">
        <w:trPr/>
        <w:tc>
          <w:tcPr>
            <w:tcW w:w="4139" w:type="dxa"/>
            <w:tcBorders>
              <w:top w:val="nil"/>
              <w:left w:val="nil"/>
              <w:bottom w:val="nil"/>
              <w:right w:val="nil"/>
            </w:tcBorders>
            <w:vAlign w:val="top"/>
          </w:tcPr>
          <w:p w14:paraId="27309244" w14:textId="77777777"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Qualification Code:</w:t>
            </w:r>
            <w:r w:rsidRPr="008B6C93">
              <w:rPr>
                <w:rStyle w:val="FootnoteReference"/>
                <w:rFonts w:ascii="Arial" w:hAnsi="Arial" w:eastAsia="Arial" w:cs="Arial"/>
                <w:sz w:val="20"/>
                <w:szCs w:val="20"/>
              </w:rPr>
              <w:footnoteReference w:id="2"/>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OCOL-5025</w:t>
            </w:r>
          </w:p>
        </w:tc>
        <w:tc>
          <w:tcPr>
            <w:tcW w:w="2948" w:type="dxa"/>
            <w:tcBorders>
              <w:top w:val="nil"/>
              <w:left w:val="nil"/>
              <w:bottom w:val="nil"/>
              <w:right w:val="nil"/>
            </w:tcBorders>
            <w:vAlign w:val="top"/>
          </w:tcPr>
          <w:p w14:paraId="6A56A7C8" w14:textId="77777777" w:rsidR="008F64FC" w:rsidRPr="008B6C93" w:rsidRDefault="008F64FC" w:rsidP="00091C17">
            <w:pPr>
              <w:tabs>
                <w:tab w:val="left" w:pos="3970"/>
                <w:tab w:val="left" w:pos="6237"/>
              </w:tabs>
              <w:spacing w:line="240" w:lineRule="auto" w:before="40" w:after="40"/>
              <w:contextualSpacing/>
              <w:jc w:val="both"/>
              <w:rPr>
                <w:rFonts w:ascii="Arial" w:hAnsi="Arial" w:eastAsia="Arial" w:cs="Arial"/>
                <w:sz w:val="20"/>
                <w:szCs w:val="20"/>
              </w:rPr>
            </w:pPr>
          </w:p>
        </w:tc>
      </w:tr>
      <w:tr w:rsidR="008F64FC" w:rsidRPr="008B6C93" w14:paraId="0A0C7629" w14:textId="77777777" w:rsidTr="00373D14">
        <w:trPr/>
        <w:tc>
          <w:tcPr>
            <w:tcW w:w="4139" w:type="dxa"/>
            <w:tcBorders>
              <w:top w:val="nil"/>
              <w:left w:val="nil"/>
              <w:bottom w:val="nil"/>
              <w:right w:val="nil"/>
            </w:tcBorders>
            <w:vAlign w:val="top"/>
          </w:tcPr>
          <w:p w14:paraId="7E59DD18" w14:textId="6EFE09AC"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NQF registration ID:</w:t>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Not yet assigned</w:t>
            </w:r>
          </w:p>
        </w:tc>
        <w:tc>
          <w:tcPr>
            <w:tcW w:w="2948" w:type="dxa"/>
            <w:tcBorders>
              <w:top w:val="nil"/>
              <w:left w:val="nil"/>
              <w:bottom w:val="nil"/>
              <w:right w:val="nil"/>
            </w:tcBorders>
            <w:vAlign w:val="top"/>
          </w:tcPr>
          <w:p w14:paraId="53B60C8E" w14:textId="77777777" w:rsidR="008F64FC" w:rsidRPr="008B6C93" w:rsidRDefault="008F64FC" w:rsidP="00091C17">
            <w:pPr>
              <w:tabs>
                <w:tab w:val="left" w:pos="3970"/>
                <w:tab w:val="left" w:pos="6237"/>
              </w:tabs>
              <w:spacing w:line="240" w:lineRule="auto" w:before="40" w:after="40"/>
              <w:contextualSpacing/>
              <w:jc w:val="both"/>
              <w:rPr>
                <w:rFonts w:ascii="Arial" w:hAnsi="Arial" w:eastAsia="Arial" w:cs="Arial"/>
                <w:sz w:val="20"/>
                <w:szCs w:val="20"/>
              </w:rPr>
            </w:pPr>
          </w:p>
        </w:tc>
      </w:tr>
      <w:tr w:rsidR="008F64FC" w:rsidRPr="008B6C93" w14:paraId="7AB93721" w14:textId="77777777" w:rsidTr="00373D14">
        <w:trPr/>
        <w:tc>
          <w:tcPr>
            <w:tcW w:w="4139" w:type="dxa"/>
            <w:tcBorders>
              <w:top w:val="nil"/>
              <w:left w:val="nil"/>
              <w:bottom w:val="nil"/>
              <w:right w:val="nil"/>
            </w:tcBorders>
            <w:vAlign w:val="top"/>
          </w:tcPr>
          <w:p w14:paraId="1673DA21" w14:textId="554FBF36"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Duration and delivery</w:t>
            </w:r>
          </w:p>
        </w:tc>
        <w:tc>
          <w:tcPr>
            <w:tcW w:w="5642" w:type="dxa"/>
            <w:gridSpan w:val="2"/>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Full-time: one academic year, two semesters. Part-time: extended calendar with the same 120 credits and 1,200 notional hours. Full-time, part-time or blended delivery. Online teaching may support suitable learning; assessed practical and simulation activities remain supervised.</w:t>
            </w:r>
          </w:p>
        </w:tc>
      </w:tr>
      <w:tr w:rsidR="008F64FC" w:rsidRPr="008B6C93" w14:paraId="0125F763" w14:textId="77777777" w:rsidTr="00373D14">
        <w:trPr/>
        <w:tc>
          <w:tcPr>
            <w:tcW w:w="4139" w:type="dxa"/>
            <w:tcBorders>
              <w:top w:val="nil"/>
              <w:left w:val="nil"/>
              <w:bottom w:val="nil"/>
              <w:right w:val="nil"/>
            </w:tcBorders>
            <w:vAlign w:val="top"/>
          </w:tcPr>
          <w:p w14:paraId="2E84EDDE" w14:textId="3BB53686"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Campus</w:t>
            </w:r>
          </w:p>
        </w:tc>
        <w:tc>
          <w:tcPr>
            <w:tcW w:w="5642" w:type="dxa"/>
            <w:gridSpan w:val="2"/>
            <w:tcBorders>
              <w:top w:val="nil"/>
              <w:left w:val="nil"/>
              <w:bottom w:val="nil"/>
              <w:right w:val="nil"/>
            </w:tcBorders>
            <w:vAlign w:val="top"/>
          </w:tcPr>
          <w:p w14:paraId="4C58AE5D" w14:textId="59348FDF" w:rsidR="008F64FC" w:rsidRPr="008B6C93" w:rsidRDefault="008F64FC" w:rsidP="00091C17">
            <w:pPr>
              <w:spacing w:before="40" w:after="40" w:line="240" w:lineRule="auto"/>
              <w:jc w:val="both"/>
              <w:rPr>
                <w:rFonts w:ascii="Arial" w:hAnsi="Arial" w:eastAsia="Arial" w:cs="Arial"/>
                <w:sz w:val="20"/>
                <w:szCs w:val="20"/>
              </w:rPr>
            </w:pPr>
            <w:r w:rsidRPr="008B6C93">
              <w:rPr>
                <w:rFonts w:ascii="Arial" w:hAnsi="Arial" w:eastAsia="Arial" w:cs="Arial"/>
                <w:sz w:val="20"/>
                <w:szCs w:val="20"/>
              </w:rPr>
              <w:t>Oranjemund, //Kharas Region, Namibia</w:t>
            </w:r>
          </w:p>
        </w:tc>
      </w:tr>
      <w:tr w:rsidR="008F64FC" w:rsidRPr="008B6C93" w14:paraId="62551673" w14:textId="77777777" w:rsidTr="00373D14">
        <w:trPr/>
        <w:tc>
          <w:tcPr>
            <w:tcW w:w="4139" w:type="dxa"/>
            <w:tcBorders>
              <w:top w:val="nil"/>
              <w:left w:val="nil"/>
              <w:bottom w:val="nil"/>
              <w:right w:val="nil"/>
            </w:tcBorders>
            <w:vAlign w:val="top"/>
          </w:tcPr>
          <w:p w14:paraId="688F7BE1"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Level of qualification:</w:t>
            </w:r>
            <w:r w:rsidRPr="008B6C93">
              <w:rPr>
                <w:rStyle w:val="FootnoteReference"/>
                <w:rFonts w:ascii="Arial" w:hAnsi="Arial" w:eastAsia="Arial" w:cs="Arial"/>
                <w:sz w:val="20"/>
                <w:szCs w:val="20"/>
              </w:rPr>
              <w:footnoteReference w:id="3"/>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5</w:t>
            </w:r>
          </w:p>
        </w:tc>
        <w:tc>
          <w:tcPr>
            <w:tcW w:w="2948" w:type="dxa"/>
            <w:tcBorders>
              <w:top w:val="nil"/>
              <w:left w:val="nil"/>
              <w:bottom w:val="nil"/>
              <w:right w:val="nil"/>
            </w:tcBorders>
            <w:vAlign w:val="top"/>
          </w:tcPr>
          <w:p w14:paraId="33CD341D"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266D0A72" w14:textId="77777777" w:rsidTr="00373D14">
        <w:trPr/>
        <w:tc>
          <w:tcPr>
            <w:tcW w:w="4139" w:type="dxa"/>
            <w:tcBorders>
              <w:top w:val="nil"/>
              <w:left w:val="nil"/>
              <w:bottom w:val="nil"/>
              <w:right w:val="nil"/>
            </w:tcBorders>
            <w:vAlign w:val="top"/>
          </w:tcPr>
          <w:p w14:paraId="754B126A"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Total credits available:</w:t>
            </w:r>
            <w:r w:rsidRPr="008B6C93">
              <w:rPr>
                <w:rStyle w:val="FootnoteReference"/>
                <w:rFonts w:ascii="Arial" w:hAnsi="Arial" w:eastAsia="Arial" w:cs="Arial"/>
                <w:sz w:val="20"/>
                <w:szCs w:val="20"/>
              </w:rPr>
              <w:footnoteReference w:id="4"/>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120</w:t>
            </w:r>
          </w:p>
        </w:tc>
        <w:tc>
          <w:tcPr>
            <w:tcW w:w="2948" w:type="dxa"/>
            <w:tcBorders>
              <w:top w:val="nil"/>
              <w:left w:val="nil"/>
              <w:bottom w:val="nil"/>
              <w:right w:val="nil"/>
            </w:tcBorders>
            <w:vAlign w:val="top"/>
          </w:tcPr>
          <w:p w14:paraId="2FBDFBAE"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102BBC9A" w14:textId="77777777" w:rsidTr="00373D14">
        <w:trPr/>
        <w:tc>
          <w:tcPr>
            <w:tcW w:w="4139" w:type="dxa"/>
            <w:tcBorders>
              <w:top w:val="nil"/>
              <w:left w:val="nil"/>
              <w:bottom w:val="nil"/>
              <w:right w:val="nil"/>
            </w:tcBorders>
            <w:vAlign w:val="top"/>
          </w:tcPr>
          <w:p w14:paraId="40366EC9"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Total credits required:</w:t>
            </w:r>
            <w:r w:rsidRPr="008B6C93">
              <w:rPr>
                <w:rStyle w:val="FootnoteReference"/>
                <w:rFonts w:ascii="Arial" w:hAnsi="Arial" w:eastAsia="Arial" w:cs="Arial"/>
                <w:sz w:val="20"/>
                <w:szCs w:val="20"/>
              </w:rPr>
              <w:footnoteReference w:id="5"/>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120</w:t>
            </w:r>
          </w:p>
        </w:tc>
        <w:tc>
          <w:tcPr>
            <w:tcW w:w="2948" w:type="dxa"/>
            <w:tcBorders>
              <w:top w:val="nil"/>
              <w:left w:val="nil"/>
              <w:bottom w:val="nil"/>
              <w:right w:val="nil"/>
            </w:tcBorders>
            <w:vAlign w:val="top"/>
          </w:tcPr>
          <w:p w14:paraId="07E25035"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50774F81" w14:textId="77777777" w:rsidTr="00373D14">
        <w:trPr/>
        <w:tc>
          <w:tcPr>
            <w:tcW w:w="4139" w:type="dxa"/>
            <w:tcBorders>
              <w:top w:val="nil"/>
              <w:left w:val="nil"/>
              <w:bottom w:val="nil"/>
              <w:right w:val="nil"/>
            </w:tcBorders>
            <w:vAlign w:val="top"/>
          </w:tcPr>
          <w:p w14:paraId="78EF2504"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c>
          <w:tcPr>
            <w:tcW w:w="2694" w:type="dxa"/>
            <w:tcBorders>
              <w:top w:val="nil"/>
              <w:left w:val="nil"/>
              <w:bottom w:val="single" w:sz="4" w:space="0" w:color="auto"/>
              <w:right w:val="nil"/>
            </w:tcBorders>
            <w:vAlign w:val="top"/>
          </w:tcPr>
          <w:p w14:paraId="096C0D8B"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c>
          <w:tcPr>
            <w:tcW w:w="2948" w:type="dxa"/>
            <w:tcBorders>
              <w:top w:val="nil"/>
              <w:left w:val="nil"/>
              <w:bottom w:val="single" w:sz="4" w:space="0" w:color="auto"/>
              <w:right w:val="nil"/>
            </w:tcBorders>
            <w:vAlign w:val="top"/>
          </w:tcPr>
          <w:p w14:paraId="11504BC4"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r>
      <w:tr w:rsidR="008F64FC" w:rsidRPr="008B6C93" w14:paraId="70229A20" w14:textId="77777777" w:rsidTr="00373D14">
        <w:trPr/>
        <w:tc>
          <w:tcPr>
            <w:tcW w:w="4139" w:type="dxa"/>
            <w:tcBorders>
              <w:top w:val="nil"/>
              <w:left w:val="nil"/>
            </w:tcBorders>
            <w:vAlign w:val="top"/>
          </w:tcPr>
          <w:p w14:paraId="0C31F5A3"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p>
        </w:tc>
        <w:tc>
          <w:tcPr>
            <w:tcW w:w="2694" w:type="dxa"/>
            <w:tcBorders>
              <w:top w:val="single" w:sz="4" w:space="0" w:color="auto"/>
            </w:tcBorders>
            <w:vAlign w:val="top"/>
          </w:tcPr>
          <w:p w14:paraId="73A925A9"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Compulsory</w:t>
            </w:r>
          </w:p>
        </w:tc>
        <w:tc>
          <w:tcPr>
            <w:tcW w:w="2948" w:type="dxa"/>
            <w:tcBorders>
              <w:top w:val="single" w:sz="4" w:space="0" w:color="auto"/>
            </w:tcBorders>
            <w:vAlign w:val="top"/>
          </w:tcPr>
          <w:p w14:paraId="3B16AE1E"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Elective</w:t>
            </w:r>
          </w:p>
        </w:tc>
      </w:tr>
      <w:tr w:rsidR="008F64FC" w:rsidRPr="008B6C93" w14:paraId="719BA1F4" w14:textId="77777777" w:rsidTr="00373D14">
        <w:trPr/>
        <w:tc>
          <w:tcPr>
            <w:tcW w:w="4139" w:type="dxa"/>
            <w:vAlign w:val="top"/>
          </w:tcPr>
          <w:p>
            <w:pPr>
              <w:spacing w:before="40" w:after="40" w:line="240" w:lineRule="auto"/>
              <w:jc w:val="left"/>
            </w:pPr>
            <w:r>
              <w:rPr>
                <w:rFonts w:ascii="Arial" w:hAnsi="Arial" w:eastAsia="Arial" w:cs="Arial"/>
                <w:b w:val="0"/>
                <w:sz w:val="20"/>
                <w:szCs w:val="20"/>
              </w:rPr>
              <w:t>Level 5 credits:</w:t>
            </w:r>
          </w:p>
        </w:tc>
        <w:tc>
          <w:tcPr>
            <w:tcW w:w="2694" w:type="dxa"/>
            <w:vAlign w:val="top"/>
          </w:tcPr>
          <w:p>
            <w:pPr>
              <w:spacing w:before="40" w:after="40" w:line="240" w:lineRule="auto"/>
              <w:jc w:val="left"/>
            </w:pPr>
            <w:r>
              <w:rPr>
                <w:rFonts w:ascii="Arial" w:hAnsi="Arial" w:eastAsia="Arial" w:cs="Arial"/>
                <w:b w:val="0"/>
                <w:sz w:val="20"/>
                <w:szCs w:val="20"/>
              </w:rPr>
              <w:t>120</w:t>
            </w:r>
          </w:p>
        </w:tc>
        <w:tc>
          <w:tcPr>
            <w:tcW w:w="2948" w:type="dxa"/>
            <w:vAlign w:val="top"/>
          </w:tcPr>
          <w:p w14:paraId="7D744C2F"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w:t>
            </w:r>
          </w:p>
        </w:tc>
      </w:tr>
      <w:tr w:rsidR="008F64FC" w:rsidRPr="008B6C93" w14:paraId="4CC2FF3A" w14:textId="77777777" w:rsidTr="00373D14">
        <w:trPr/>
        <w:tc>
          <w:tcPr>
            <w:tcW w:w="4139" w:type="dxa"/>
            <w:vAlign w:val="top"/>
          </w:tcPr>
          <w:p w14:paraId="7AA109A5" w14:textId="77777777" w:rsidR="008F64FC" w:rsidRPr="008B6C93" w:rsidRDefault="008F64FC" w:rsidP="008F64FC">
            <w:pPr>
              <w:tabs>
                <w:tab w:val="left" w:pos="3970"/>
                <w:tab w:val="left" w:pos="6237"/>
              </w:tabs>
              <w:spacing w:line="240" w:lineRule="auto" w:before="40" w:after="40"/>
              <w:contextualSpacing/>
              <w:jc w:val="both"/>
              <w:rPr>
                <w:rFonts w:ascii="Arial" w:hAnsi="Arial" w:eastAsia="Arial" w:cs="Arial"/>
                <w:sz w:val="20"/>
                <w:szCs w:val="20"/>
              </w:rPr>
            </w:pPr>
            <w:r w:rsidRPr="008B6C93">
              <w:rPr>
                <w:rFonts w:ascii="Arial" w:hAnsi="Arial" w:eastAsia="Arial" w:cs="Arial"/>
                <w:sz w:val="20"/>
                <w:szCs w:val="20"/>
              </w:rPr>
              <w:t>Minimum total credits required:</w:t>
            </w:r>
          </w:p>
        </w:tc>
        <w:tc>
          <w:tcPr>
            <w:tcW w:w="2694" w:type="dxa"/>
            <w:vAlign w:val="top"/>
          </w:tcPr>
          <w:p>
            <w:pPr>
              <w:spacing w:before="40" w:after="40" w:line="240" w:lineRule="auto"/>
              <w:jc w:val="left"/>
            </w:pPr>
            <w:r>
              <w:rPr>
                <w:rFonts w:ascii="Arial" w:hAnsi="Arial" w:eastAsia="Arial" w:cs="Arial"/>
                <w:b w:val="0"/>
                <w:sz w:val="20"/>
                <w:szCs w:val="20"/>
              </w:rPr>
              <w:t>120</w:t>
            </w:r>
          </w:p>
        </w:tc>
        <w:tc>
          <w:tcPr>
            <w:tcW w:w="2948" w:type="dxa"/>
            <w:vAlign w:val="top"/>
          </w:tcPr>
          <w:p w14:paraId="72449989"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w:t>
            </w:r>
          </w:p>
        </w:tc>
      </w:tr>
    </w:tbl>
    <w:p w14:paraId="0F921D54" w14:textId="77777777" w:rsidR="00885E26" w:rsidRPr="008B6C93" w:rsidRDefault="00885E26" w:rsidP="00373D14">
      <w:pPr>
        <w:pageBreakBefore/>
        <w:spacing w:before="0" w:after="120"/>
        <w:ind w:left="284"/>
        <w:contextualSpacing/>
        <w:rPr>
          <w:rFonts w:ascii="Arial" w:hAnsi="Arial" w:eastAsia="Arial" w:cs="Arial"/>
          <w:sz w:val="20"/>
          <w:szCs w:val="20"/>
        </w:rPr>
      </w:pPr>
      <w:r w:rsidRPr="008B6C93">
        <w:rPr>
          <w:rFonts w:ascii="Arial" w:hAnsi="Arial" w:eastAsia="Arial" w:cs="Arial"/>
          <w:b/>
          <w:bCs/>
          <w:sz w:val="20"/>
          <w:szCs w:val="20"/>
        </w:rPr>
        <w:t>Qualification Structure</w:t>
      </w:r>
      <w:r w:rsidRPr="008B6C93">
        <w:rPr>
          <w:rStyle w:val="FootnoteReference"/>
          <w:rFonts w:ascii="Arial" w:hAnsi="Arial" w:eastAsia="Arial" w:cs="Arial"/>
          <w:sz w:val="20"/>
          <w:szCs w:val="20"/>
        </w:rPr>
        <w:footnoteReference w:id="6"/>
      </w:r>
    </w:p>
    <w:tbl>
      <w:tblPr>
        <w:tblW w:w="9781" w:type="dxa"/>
        <w:tblInd w:w="39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446"/>
        <w:gridCol w:w="5783"/>
        <w:gridCol w:w="992"/>
        <w:gridCol w:w="993"/>
      </w:tblGrid>
      <w:tr w:rsidR="00885E26" w:rsidRPr="008B6C93" w14:paraId="05DAF36E" w14:textId="77777777" w:rsidTr="00373D14">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70FE0492"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446" w:type="dxa"/>
            <w:tcBorders>
              <w:top w:val="single" w:sz="4" w:space="0" w:color="000000"/>
              <w:left w:val="single" w:sz="4" w:space="0" w:color="000000"/>
              <w:bottom w:val="single" w:sz="4" w:space="0" w:color="000000"/>
              <w:right w:val="single" w:sz="4" w:space="0" w:color="000000"/>
            </w:tcBorders>
            <w:shd w:val="clear" w:color="auto" w:fill="BFBFBF"/>
            <w:vAlign w:val="top"/>
          </w:tcPr>
          <w:p w14:paraId="5C02502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5FC98610"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5128FFDC"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CEC71EA"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RHPC-5103</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Renewable Hydrogen Process Chemistry</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EBPS-5104</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Electrolyser and Balance of Plant Systems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HPSR-5105</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Process Safety and Risk Control</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HGSC-5206</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Gas Storage and Compression</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HWUE-5207</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Water Utilities and Energy Efficiency</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HPMQ-5208</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Process Monitoring and Quality Assurance</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HMRP-5209</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Maintenance and Reliability Planning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IHOS-5210</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Hydrogen Operations Simulation</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r>
    </w:tbl>
    <w:p w14:paraId="5E48422E" w14:textId="77777777" w:rsidR="00C65B51" w:rsidRPr="008B6C93" w:rsidRDefault="00C65B51">
      <w:pPr>
        <w:spacing w:before="0" w:after="120"/>
        <w:rPr>
          <w:rFonts w:ascii="Arial" w:hAnsi="Arial" w:eastAsia="Arial" w:cs="Arial"/>
          <w:sz w:val="20"/>
          <w:szCs w:val="20"/>
        </w:rPr>
        <w:sectPr w:rsidR="00C65B51" w:rsidRPr="008B6C93">
          <w:footerReference w:type="default" r:id="rId9"/>
          <w:headerReference w:type="default" r:id="rId76"/>
          <w:pgSz w:w="11906" w:h="16838"/>
          <w:pgMar w:top="850" w:right="907" w:bottom="850" w:left="907" w:header="397" w:footer="397" w:gutter="0"/>
          <w:pgBorders w:display="firstPage" w:offsetFrom="page">
            <w:top w:val="single" w:sz="10" w:space="20" w:color="F36B18"/>
            <w:left w:val="single" w:sz="10" w:space="20" w:color="F36B18"/>
            <w:bottom w:val="single" w:sz="10" w:space="20" w:color="F36B18"/>
            <w:right w:val="single" w:sz="10" w:space="20" w:color="F36B18"/>
          </w:pgBorders>
          <w:cols w:space="720"/>
          <w:docGrid w:linePitch="360"/>
        </w:sectPr>
      </w:pPr>
    </w:p>
    <w:p w14:paraId="23585C03" w14:textId="47D218A8" w:rsidR="00885E26" w:rsidRPr="008B6C93" w:rsidRDefault="00885E26" w:rsidP="00885E26">
      <w:pPr>
        <w:keepNext/>
        <w:spacing w:before="0" w:after="120"/>
        <w:rPr>
          <w:rFonts w:ascii="Arial" w:hAnsi="Arial" w:eastAsia="Arial" w:cs="Arial"/>
          <w:b/>
          <w:bCs/>
          <w:lang w:val="en-US"/>
          <w:sz w:val="20"/>
          <w:szCs w:val="20"/>
        </w:rPr>
      </w:pPr>
      <w:r w:rsidRPr="008B6C93">
        <w:rPr>
          <w:rFonts w:ascii="Arial" w:hAnsi="Arial" w:eastAsia="Arial" w:cs="Arial"/>
          <w:b/>
          <w:bCs/>
          <w:sz w:val="20"/>
          <w:lang w:val="en-US"/>
          <w:szCs w:val="20"/>
        </w:rPr>
        <w:t>Detailed Qualification Structure</w:t>
      </w:r>
    </w:p>
    <w:tbl>
      <w:tblPr>
        <w:tblW w:w="1505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589"/>
        <w:gridCol w:w="5782"/>
        <w:gridCol w:w="853"/>
        <w:gridCol w:w="1003"/>
        <w:gridCol w:w="1134"/>
        <w:gridCol w:w="1433"/>
        <w:gridCol w:w="1417"/>
        <w:gridCol w:w="1276"/>
      </w:tblGrid>
      <w:tr w:rsidR="00885E26" w:rsidRPr="008B6C93" w14:paraId="435529B1" w14:textId="77777777" w:rsidTr="00484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0FCEABD2"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vAlign w:val="top"/>
          </w:tcPr>
          <w:p w14:paraId="06A24AC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1B1B12E1"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78AFF4C3"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114DD16E"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vAlign w:val="top"/>
          </w:tcPr>
          <w:p w14:paraId="716834B6"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vAlign w:val="top"/>
          </w:tcPr>
          <w:p w14:paraId="45BB1C7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vAlign w:val="top"/>
          </w:tcPr>
          <w:p w14:paraId="363F9563"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vAlign w:val="top"/>
          </w:tcPr>
          <w:p w14:paraId="4052CB7C"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RHPC-5103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Renewable Hydrogen Process Chemistry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EBPS-5104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Electrolyser and Balance of Plant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HPSR-5105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Process Safety and Risk Control</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HGSC-5206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Gas Storage and Compression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EBPS-5104, HPSR-5105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HWUE-5207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Water Utilities and Energy Efficiency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RHPC-5103, EBPS-5104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HPMQ-5208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Process Monitoring and Quality Assurance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RHPC-5103, EBPS-5104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HMRP-5209</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Maintenance and Reliability Planning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EBPS-5104, HPSR-5105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IHOS-5210</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Hydrogen Operations Simulation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RHPC-5103, EBPS-5104, HPSR-5105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r>
    </w:tbl>
    <w:p w14:paraId="69587798" w14:textId="613F5814" w:rsidR="00484777" w:rsidRPr="008B6C93" w:rsidRDefault="0082754C" w:rsidP="00484777">
      <w:pPr>
        <w:spacing w:before="0" w:after="120"/>
        <w:rPr>
          <w:rFonts w:ascii="Arial" w:hAnsi="Arial" w:eastAsia="Arial" w:cs="Arial"/>
          <w:b/>
          <w:bCs/>
          <w:sz w:val="20"/>
          <w:szCs w:val="20"/>
        </w:rPr>
      </w:pPr>
      <w:r w:rsidRPr="008B6C93">
        <w:rPr>
          <w:rFonts w:ascii="Arial" w:hAnsi="Arial" w:eastAsia="Arial" w:cs="Arial"/>
          <w:b/>
          <w:bCs/>
          <w:sz w:val="20"/>
          <w:lang w:val="en-US"/>
          <w:szCs w:val="20"/>
        </w:rPr>
        <w:lastRenderedPageBreak/>
        <w:t>Learning Time Distribution Framework</w:t>
      </w:r>
      <w:r w:rsidRPr="008B6C93">
        <w:rPr>
          <w:rStyle w:val="FootnoteReference"/>
          <w:rFonts w:ascii="Arial" w:hAnsi="Arial" w:eastAsia="Arial" w:cs="Arial"/>
          <w:b/>
          <w:bCs/>
          <w:sz w:val="20"/>
          <w:lang w:val="en-US"/>
          <w:szCs w:val="20"/>
        </w:rPr>
        <w:footnoteReference w:id="7"/>
      </w:r>
    </w:p>
    <w:p w14:paraId="1136D19D" w14:textId="7F1437EB" w:rsidR="00484777" w:rsidRPr="008B6C93" w:rsidRDefault="00484777" w:rsidP="0082754C">
      <w:pPr>
        <w:spacing w:before="0" w:after="120"/>
        <w:ind w:right="38"/>
        <w:contextualSpacing/>
        <w:jc w:val="both"/>
        <w:rPr>
          <w:rFonts w:ascii="Arial" w:hAnsi="Arial" w:eastAsia="Arial" w:cs="Arial"/>
          <w:sz w:val="20"/>
          <w:szCs w:val="20"/>
        </w:rPr>
      </w:pPr>
      <w:r>
        <w:rPr>
          <w:rFonts w:ascii="Arial" w:hAnsi="Arial" w:eastAsia="Arial" w:cs="Arial"/>
          <w:sz w:val="20"/>
          <w:szCs w:val="20"/>
        </w:rPr>
        <w:t>One credit represents ten notional learning hours. The 120-credit qualification therefore contains 1,200 hours, including learning and assessment. The activity allocation below is the College’s planning model, not a nationally prescribed percentage split.</w:t>
      </w: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9"/>
        <w:gridCol w:w="3544"/>
        <w:gridCol w:w="2036"/>
        <w:gridCol w:w="8737"/>
      </w:tblGrid>
      <w:tr w:rsidR="0082754C" w:rsidRPr="008B6C93" w14:paraId="633384BA" w14:textId="77777777" w:rsidTr="00484777">
        <w:trPr>
          <w:tblHeader/>
        </w:trPr>
        <w:tc>
          <w:tcPr>
            <w:tcW w:w="709" w:type="dxa"/>
            <w:shd w:val="clear" w:color="auto" w:fill="D9D9D9"/>
            <w:vAlign w:val="top"/>
          </w:tcPr>
          <w:p w14:paraId="552B941E" w14:textId="77777777" w:rsidR="0082754C" w:rsidRPr="008B6C93" w:rsidRDefault="0082754C" w:rsidP="008862B1">
            <w:pPr>
              <w:keepNext/>
              <w:spacing w:line="240" w:lineRule="auto" w:before="40" w:after="40"/>
              <w:contextualSpacing/>
              <w:jc w:val="left"/>
              <w:rPr>
                <w:rFonts w:ascii="Arial" w:hAnsi="Arial" w:eastAsia="Arial" w:cs="Arial"/>
                <w:sz w:val="20"/>
                <w:szCs w:val="20"/>
              </w:rPr>
            </w:pPr>
            <w:r w:rsidRPr="008B6C93">
              <w:rPr>
                <w:rFonts w:ascii="Arial" w:hAnsi="Arial" w:eastAsia="Arial" w:cs="Arial"/>
                <w:b/>
                <w:sz w:val="20"/>
                <w:szCs w:val="20"/>
              </w:rPr>
              <w:t>No</w:t>
            </w:r>
          </w:p>
        </w:tc>
        <w:tc>
          <w:tcPr>
            <w:tcW w:w="3544" w:type="dxa"/>
            <w:shd w:val="clear" w:color="auto" w:fill="D9D9D9"/>
            <w:vAlign w:val="top"/>
          </w:tcPr>
          <w:p w14:paraId="03DE19D2" w14:textId="77777777" w:rsidR="0082754C" w:rsidRPr="008B6C93" w:rsidRDefault="0082754C" w:rsidP="008862B1">
            <w:pPr>
              <w:keepNext/>
              <w:spacing w:line="240" w:lineRule="auto" w:before="40" w:after="40"/>
              <w:ind w:left="567"/>
              <w:contextualSpacing/>
              <w:jc w:val="left"/>
              <w:rPr>
                <w:rFonts w:ascii="Arial" w:hAnsi="Arial" w:eastAsia="Arial" w:cs="Arial"/>
                <w:sz w:val="20"/>
                <w:szCs w:val="20"/>
              </w:rPr>
            </w:pPr>
            <w:r w:rsidRPr="008B6C93">
              <w:rPr>
                <w:rFonts w:ascii="Arial" w:hAnsi="Arial" w:eastAsia="Arial" w:cs="Arial"/>
                <w:b/>
                <w:sz w:val="20"/>
                <w:szCs w:val="20"/>
              </w:rPr>
              <w:t>Learning Activity Category</w:t>
            </w:r>
          </w:p>
        </w:tc>
        <w:tc>
          <w:tcPr>
            <w:tcW w:w="2036" w:type="dxa"/>
            <w:shd w:val="clear" w:color="auto" w:fill="D9D9D9"/>
            <w:vAlign w:val="top"/>
          </w:tcPr>
          <w:p w14:paraId="7A9140D6" w14:textId="77777777" w:rsidR="0082754C" w:rsidRPr="008B6C93" w:rsidRDefault="0082754C" w:rsidP="008862B1">
            <w:pPr>
              <w:keepNext/>
              <w:spacing w:line="240" w:lineRule="auto" w:before="40" w:after="40"/>
              <w:contextualSpacing/>
              <w:jc w:val="left"/>
              <w:rPr>
                <w:rFonts w:ascii="Arial" w:hAnsi="Arial" w:eastAsia="Arial" w:cs="Arial"/>
                <w:sz w:val="20"/>
                <w:szCs w:val="20"/>
              </w:rPr>
            </w:pPr>
            <w:r w:rsidRPr="008B6C93">
              <w:rPr>
                <w:rFonts w:ascii="Arial" w:hAnsi="Arial" w:eastAsia="Arial" w:cs="Arial"/>
                <w:b/>
                <w:sz w:val="20"/>
                <w:szCs w:val="20"/>
              </w:rPr>
              <w:t>% Allocation Per Credit</w:t>
            </w:r>
          </w:p>
        </w:tc>
        <w:tc>
          <w:tcPr>
            <w:tcW w:w="8737" w:type="dxa"/>
            <w:shd w:val="clear" w:color="auto" w:fill="D9D9D9"/>
            <w:vAlign w:val="top"/>
          </w:tcPr>
          <w:p w14:paraId="317150BF" w14:textId="77777777" w:rsidR="0082754C" w:rsidRPr="008B6C93" w:rsidRDefault="0082754C" w:rsidP="008862B1">
            <w:pPr>
              <w:keepNext/>
              <w:spacing w:line="240" w:lineRule="auto" w:before="40" w:after="40"/>
              <w:ind w:left="567"/>
              <w:contextualSpacing/>
              <w:jc w:val="left"/>
              <w:rPr>
                <w:rFonts w:ascii="Arial" w:hAnsi="Arial" w:eastAsia="Arial" w:cs="Arial"/>
                <w:sz w:val="20"/>
                <w:szCs w:val="20"/>
              </w:rPr>
            </w:pPr>
            <w:r w:rsidRPr="008B6C93">
              <w:rPr>
                <w:rFonts w:ascii="Arial" w:hAnsi="Arial" w:eastAsia="Arial" w:cs="Arial"/>
                <w:b/>
                <w:sz w:val="20"/>
                <w:szCs w:val="20"/>
              </w:rPr>
              <w:t>Interpretation</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1</w:t>
            </w:r>
          </w:p>
        </w:tc>
        <w:tc>
          <w:tcPr>
            <w:tcW w:w="3544" w:type="dxa"/>
            <w:vAlign w:val="top"/>
          </w:tcPr>
          <w:p>
            <w:pPr>
              <w:spacing w:before="40" w:after="40" w:line="240" w:lineRule="auto"/>
              <w:jc w:val="left"/>
            </w:pPr>
            <w:r>
              <w:rPr>
                <w:rFonts w:ascii="Arial" w:hAnsi="Arial" w:eastAsia="Arial" w:cs="Arial"/>
                <w:b w:val="0"/>
                <w:sz w:val="20"/>
                <w:szCs w:val="20"/>
              </w:rPr>
              <w:t>Taught contact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Lectures, seminars, tutorials and structured workshops.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2</w:t>
            </w:r>
          </w:p>
        </w:tc>
        <w:tc>
          <w:tcPr>
            <w:tcW w:w="3544" w:type="dxa"/>
            <w:vAlign w:val="top"/>
          </w:tcPr>
          <w:p>
            <w:pPr>
              <w:spacing w:before="40" w:after="40" w:line="240" w:lineRule="auto"/>
              <w:jc w:val="left"/>
            </w:pPr>
            <w:r>
              <w:rPr>
                <w:rFonts w:ascii="Arial" w:hAnsi="Arial" w:eastAsia="Arial" w:cs="Arial"/>
                <w:b w:val="0"/>
                <w:sz w:val="20"/>
                <w:szCs w:val="20"/>
              </w:rPr>
              <w:t>Guided practical contact learning / directed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Supervised exercises, practical activities and simulations within the programme safety boundaries.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3</w:t>
            </w:r>
          </w:p>
        </w:tc>
        <w:tc>
          <w:tcPr>
            <w:tcW w:w="3544" w:type="dxa"/>
            <w:vAlign w:val="top"/>
          </w:tcPr>
          <w:p>
            <w:pPr>
              <w:spacing w:before="40" w:after="40" w:line="240" w:lineRule="auto"/>
              <w:jc w:val="left"/>
            </w:pPr>
            <w:r>
              <w:rPr>
                <w:rFonts w:ascii="Arial" w:hAnsi="Arial" w:eastAsia="Arial" w:cs="Arial"/>
                <w:b w:val="0"/>
                <w:sz w:val="20"/>
                <w:szCs w:val="20"/>
              </w:rPr>
              <w:t>Independent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Reading, preparation, research and independent practice.</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4</w:t>
            </w:r>
          </w:p>
        </w:tc>
        <w:tc>
          <w:tcPr>
            <w:tcW w:w="3544" w:type="dxa"/>
            <w:vAlign w:val="top"/>
          </w:tcPr>
          <w:p>
            <w:pPr>
              <w:spacing w:before="40" w:after="40" w:line="240" w:lineRule="auto"/>
              <w:jc w:val="left"/>
            </w:pPr>
            <w:r>
              <w:rPr>
                <w:rFonts w:ascii="Arial" w:hAnsi="Arial" w:eastAsia="Arial" w:cs="Arial"/>
                <w:b w:val="0"/>
                <w:sz w:val="20"/>
                <w:szCs w:val="20"/>
              </w:rPr>
              <w:t>Assessment</w:t>
            </w:r>
          </w:p>
        </w:tc>
        <w:tc>
          <w:tcPr>
            <w:tcW w:w="2036" w:type="dxa"/>
            <w:vAlign w:val="top"/>
          </w:tcPr>
          <w:p>
            <w:pPr>
              <w:spacing w:before="40" w:after="40" w:line="240" w:lineRule="auto"/>
              <w:jc w:val="left"/>
            </w:pPr>
            <w:r>
              <w:rPr>
                <w:rFonts w:ascii="Arial" w:hAnsi="Arial" w:eastAsia="Arial" w:cs="Arial"/>
                <w:b w:val="0"/>
                <w:sz w:val="20"/>
                <w:szCs w:val="20"/>
              </w:rPr>
              <w:t>10% | 120 hours</w:t>
            </w:r>
          </w:p>
        </w:tc>
        <w:tc>
          <w:tcPr>
            <w:tcW w:w="8737" w:type="dxa"/>
            <w:vAlign w:val="top"/>
          </w:tcPr>
          <w:p>
            <w:pPr>
              <w:spacing w:before="40" w:after="40" w:line="240" w:lineRule="auto"/>
              <w:jc w:val="left"/>
            </w:pPr>
            <w:r>
              <w:rPr>
                <w:rFonts w:ascii="Arial" w:hAnsi="Arial" w:eastAsia="Arial" w:cs="Arial"/>
                <w:b w:val="0"/>
                <w:sz w:val="20"/>
                <w:szCs w:val="20"/>
              </w:rPr>
              <w:t>Preparation and completion of assessments; recorded separately from contact hours.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r>
          </w:p>
        </w:tc>
        <w:tc>
          <w:tcPr>
            <w:tcW w:w="3544" w:type="dxa"/>
            <w:vAlign w:val="top"/>
          </w:tcPr>
          <w:p>
            <w:pPr>
              <w:spacing w:before="40" w:after="40" w:line="240" w:lineRule="auto"/>
              <w:jc w:val="left"/>
            </w:pPr>
            <w:r>
              <w:rPr>
                <w:rFonts w:ascii="Arial" w:hAnsi="Arial" w:eastAsia="Arial" w:cs="Arial"/>
                <w:b w:val="0"/>
                <w:sz w:val="20"/>
                <w:szCs w:val="20"/>
              </w:rPr>
              <w:t>Total</w:t>
            </w:r>
          </w:p>
        </w:tc>
        <w:tc>
          <w:tcPr>
            <w:tcW w:w="2036" w:type="dxa"/>
            <w:vAlign w:val="top"/>
          </w:tcPr>
          <w:p>
            <w:pPr>
              <w:spacing w:before="40" w:after="40" w:line="240" w:lineRule="auto"/>
              <w:jc w:val="left"/>
            </w:pPr>
            <w:r>
              <w:rPr>
                <w:rFonts w:ascii="Arial" w:hAnsi="Arial" w:eastAsia="Arial" w:cs="Arial"/>
                <w:b w:val="0"/>
                <w:sz w:val="20"/>
                <w:szCs w:val="20"/>
              </w:rPr>
              <w:t>100% | 1,200 hours</w:t>
            </w:r>
          </w:p>
        </w:tc>
        <w:tc>
          <w:tcPr>
            <w:tcW w:w="8737" w:type="dxa"/>
            <w:vAlign w:val="top"/>
          </w:tcPr>
          <w:p>
            <w:pPr>
              <w:spacing w:before="40" w:after="40" w:line="240" w:lineRule="auto"/>
              <w:jc w:val="left"/>
            </w:pPr>
            <w:r>
              <w:rPr>
                <w:rFonts w:ascii="Arial" w:hAnsi="Arial" w:eastAsia="Arial" w:cs="Arial"/>
                <w:b w:val="0"/>
                <w:sz w:val="20"/>
                <w:szCs w:val="20"/>
              </w:rPr>
              <w:t>720 contact hours; 480 independent-learning and assessment hours.</w:t>
            </w:r>
          </w:p>
        </w:tc>
      </w:tr>
    </w:tbl>
    <w:p w14:paraId="14485BC9" w14:textId="77777777" w:rsidR="006F54F2" w:rsidRPr="008B6C93" w:rsidRDefault="006F54F2" w:rsidP="006F54F2">
      <w:pPr>
        <w:pStyle w:val="Heading1"/>
        <w:spacing w:before="0" w:after="120"/>
        <w:rPr>
          <w:rFonts w:ascii="Arial" w:hAnsi="Arial" w:eastAsia="Arial" w:cs="Arial"/>
          <w:sz w:val="20"/>
          <w:szCs w:val="20"/>
        </w:rPr>
      </w:pPr>
      <w:r w:rsidRPr="008B6C93">
        <w:rPr>
          <w:rFonts w:ascii="Arial" w:hAnsi="Arial" w:eastAsia="Arial" w:cs="Arial"/>
          <w:sz w:val="20"/>
          <w:szCs w:val="20"/>
        </w:rPr>
        <w:t>Credit weighting rationale</w:t>
      </w:r>
    </w:p>
    <w:p w14:paraId="36F5E28C" w14:textId="77777777" w:rsidR="006F54F2" w:rsidRPr="008B6C93" w:rsidRDefault="006F54F2" w:rsidP="00484777">
      <w:pPr>
        <w:spacing w:before="0" w:after="120"/>
        <w:jc w:val="both"/>
        <w:rPr>
          <w:rFonts w:ascii="Arial" w:hAnsi="Arial" w:eastAsia="Arial" w:cs="Arial"/>
          <w:sz w:val="20"/>
          <w:szCs w:val="20"/>
        </w:rPr>
      </w:pPr>
      <w:r>
        <w:rPr>
          <w:rFonts w:ascii="Arial" w:hAnsi="Arial" w:eastAsia="Arial" w:cs="Arial"/>
          <w:sz w:val="20"/>
          <w:szCs w:val="20"/>
        </w:rPr>
        <w:t>The two shared 10-credit foundations support academic communication and secure information use. Semester 1 assigns 40 further credits to three discipline foundations. Semester 2 assigns 44 credits to four applied modules and 16 to the integrated project. Greater credit is allocated to repeated technical analysis and integrated evidence rather than title complexity.</w:t>
      </w:r>
    </w:p>
    <w:p w14:paraId="1200D500" w14:textId="77777777" w:rsidR="006F54F2" w:rsidRPr="008B6C93" w:rsidRDefault="006F54F2" w:rsidP="00484777">
      <w:pPr>
        <w:spacing w:before="0" w:after="120"/>
        <w:jc w:val="both"/>
        <w:rPr>
          <w:rFonts w:ascii="Arial" w:hAnsi="Arial" w:eastAsia="Arial" w:cs="Arial"/>
          <w:sz w:val="20"/>
          <w:szCs w:val="20"/>
        </w:rPr>
      </w:pPr>
      <w:r>
        <w:rPr>
          <w:rFonts w:ascii="Arial" w:hAnsi="Arial" w:eastAsia="Arial" w:cs="Arial"/>
          <w:sz w:val="20"/>
          <w:szCs w:val="20"/>
        </w:rPr>
        <w:t>Module allocations use the same percentages: a 10-credit module has 30 taught, 30 guided practical, 30 independent and 10 assessment hours; a 12-credit module has 36, 36, 36 and 12 hours; a 14-credit module has 42, 42, 42 and 14 hours; a 16-credit module has 48, 48, 48 and 16 hours. Each semester totals 600 notional hours, including 360 contact hours.</w:t>
      </w:r>
    </w:p>
    <w:p w14:paraId="7A2ED4AF" w14:textId="77777777" w:rsidR="00274B8B" w:rsidRPr="008B6C93" w:rsidRDefault="00274B8B" w:rsidP="00274B8B">
      <w:pPr>
        <w:pStyle w:val="Heading2"/>
        <w:spacing w:before="0" w:after="120"/>
        <w:contextualSpacing/>
        <w:rPr>
          <w:rFonts w:ascii="Arial" w:hAnsi="Arial" w:eastAsia="Arial" w:cs="Arial"/>
          <w:sz w:val="20"/>
          <w:szCs w:val="20"/>
        </w:rPr>
      </w:pPr>
      <w:r>
        <w:rPr>
          <w:rFonts w:ascii="Arial" w:hAnsi="Arial" w:eastAsia="Arial" w:cs="Arial"/>
          <w:sz w:val="20"/>
          <w:szCs w:val="20"/>
        </w:rPr>
        <w:t>Year 1 (Semesters 1 and 2) 120 Credits</w:t>
      </w:r>
    </w:p>
    <w:tbl>
      <w:tblPr>
        <w:tblW w:w="1505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589"/>
        <w:gridCol w:w="5782"/>
        <w:gridCol w:w="857"/>
        <w:gridCol w:w="1003"/>
        <w:gridCol w:w="1134"/>
        <w:gridCol w:w="1433"/>
        <w:gridCol w:w="1417"/>
        <w:gridCol w:w="1276"/>
      </w:tblGrid>
      <w:tr w:rsidR="00274B8B" w:rsidRPr="008B6C93" w14:paraId="40C73936" w14:textId="77777777" w:rsidTr="00484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761AC4A1"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vAlign w:val="top"/>
          </w:tcPr>
          <w:p w14:paraId="7BF64733"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32167354"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253247A"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6AAB1051"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vAlign w:val="top"/>
          </w:tcPr>
          <w:p w14:paraId="3F9DF5E0"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vAlign w:val="top"/>
          </w:tcPr>
          <w:p w14:paraId="29EE7548"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vAlign w:val="top"/>
          </w:tcPr>
          <w:p w14:paraId="3C161C01"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vAlign w:val="top"/>
          </w:tcPr>
          <w:p w14:paraId="373D2BD4"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RHPC-5103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Renewable Hydrogen Process Chemistry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EBPS-5104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Electrolyser and Balance of Plant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HPSR-5105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Process Safety and Risk Control</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Semester 1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60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HGSC-5206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Gas Storage and Compression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EBPS-5104, HPSR-5105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HWUE-5207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Water Utilities and Energy Efficiency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RHPC-5103, EBPS-5104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HPMQ-5208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Process Monitoring and Quality Assurance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RHPC-5103, EBPS-5104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HMRP-5209</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Maintenance and Reliability Planning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EBPS-5104, HPSR-5105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IHOS-5210</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Hydrogen Operations Simulation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RHPC-5103, EBPS-5104, HPSR-5105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Semester 2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60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Year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720</w:t>
            </w:r>
          </w:p>
        </w:tc>
      </w:tr>
    </w:tbl>
    <w:p w14:paraId="0C9746FE" w14:textId="77777777" w:rsidR="00C65B51" w:rsidRPr="008B6C93" w:rsidRDefault="00C65B51">
      <w:pPr>
        <w:spacing w:before="0" w:after="120"/>
        <w:rPr>
          <w:rFonts w:ascii="Arial" w:hAnsi="Arial" w:eastAsia="Arial" w:cs="Arial"/>
          <w:sz w:val="20"/>
          <w:szCs w:val="20"/>
        </w:rPr>
        <w:sectPr w:rsidR="00C65B51" w:rsidRPr="008B6C93">
          <w:pgSz w:w="16838" w:h="11906" w:orient="landscape"/>
          <w:pgMar w:top="850" w:right="907" w:bottom="850" w:left="907" w:header="397" w:footer="397" w:gutter="0"/>
          <w:cols w:space="720"/>
          <w:docGrid w:linePitch="360"/>
        </w:sectPr>
      </w:pPr>
    </w:p>
    <w:p w14:paraId="228B2F81" w14:textId="77777777" w:rsidR="00C65B51" w:rsidRPr="008B6C93" w:rsidRDefault="00000000">
      <w:pPr>
        <w:pStyle w:val="Heading1"/>
        <w:spacing w:before="0" w:after="120"/>
        <w:rPr>
          <w:rFonts w:ascii="Arial" w:hAnsi="Arial" w:eastAsia="Arial" w:cs="Arial"/>
          <w:sz w:val="20"/>
          <w:szCs w:val="20"/>
          <w:u w:val="single"/>
        </w:rPr>
      </w:pPr>
      <w:r w:rsidRPr="008B6C93">
        <w:rPr>
          <w:rFonts w:ascii="Arial" w:hAnsi="Arial" w:eastAsia="Arial" w:cs="Arial"/>
          <w:sz w:val="20"/>
          <w:szCs w:val="20"/>
          <w:u w:val="single"/>
        </w:rPr>
        <w:lastRenderedPageBreak/>
        <w:t>Qualification Structure by Outcomes and Fields of Learning</w:t>
      </w:r>
    </w:p>
    <w:p w14:paraId="50AA284D" w14:textId="77777777" w:rsidR="00C65B51" w:rsidRPr="008B6C93" w:rsidRDefault="00000000">
      <w:pPr>
        <w:keepNext/>
        <w:spacing w:before="0" w:after="120"/>
        <w:rPr>
          <w:rFonts w:ascii="Arial" w:hAnsi="Arial" w:eastAsia="Arial" w:cs="Arial"/>
          <w:b/>
          <w:sz w:val="20"/>
          <w:szCs w:val="20"/>
        </w:rPr>
      </w:pPr>
      <w:r w:rsidRPr="008B6C93">
        <w:rPr>
          <w:rFonts w:ascii="Arial" w:hAnsi="Arial" w:eastAsia="Arial" w:cs="Arial"/>
          <w:b/>
          <w:sz w:val="20"/>
          <w:szCs w:val="20"/>
        </w:rPr>
        <w:t>Qualification outcomes</w:t>
      </w:r>
    </w:p>
    <w:tbl>
      <w:tblPr>
        <w:tblStyle w:val="TableGrid"/>
        <w:tblW w:w="0" w:type="auto"/>
        <w:tblInd w:w="108" w:type="dxa"/>
        <w:tblLook w:val="04A0" w:firstRow="1" w:lastRow="0" w:firstColumn="1" w:lastColumn="0" w:noHBand="0" w:noVBand="1"/>
      </w:tblPr>
      <w:tblGrid>
        <w:gridCol w:w="709"/>
        <w:gridCol w:w="14423"/>
      </w:tblGrid>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EO1</w:t>
            </w:r>
          </w:p>
        </w:tc>
        <w:tc>
          <w:tcPr>
            <w:tcW w:w="14423" w:type="dxa"/>
            <w:vAlign w:val="top"/>
          </w:tcPr>
          <w:p>
            <w:pPr>
              <w:spacing w:before="40" w:after="40" w:line="240" w:lineRule="auto"/>
              <w:jc w:val="left"/>
            </w:pPr>
            <w:r>
              <w:rPr>
                <w:rFonts w:ascii="Arial" w:hAnsi="Arial" w:eastAsia="Arial" w:cs="Arial"/>
                <w:b w:val="0"/>
                <w:sz w:val="20"/>
                <w:szCs w:val="20"/>
              </w:rPr>
              <w:t>Communicate technical information and operating decisions clearly in written and spoken English.</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EO2</w:t>
            </w:r>
          </w:p>
        </w:tc>
        <w:tc>
          <w:tcPr>
            <w:tcW w:w="14423" w:type="dxa"/>
            <w:vAlign w:val="top"/>
          </w:tcPr>
          <w:p>
            <w:pPr>
              <w:spacing w:before="40" w:after="40" w:line="240" w:lineRule="auto"/>
              <w:jc w:val="left"/>
            </w:pPr>
            <w:r>
              <w:rPr>
                <w:rFonts w:ascii="Arial" w:hAnsi="Arial" w:eastAsia="Arial" w:cs="Arial"/>
                <w:b w:val="0"/>
                <w:sz w:val="20"/>
                <w:szCs w:val="20"/>
              </w:rPr>
              <w:t>Use information systems to maintain reliable process records and analyse operating data.</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EO3</w:t>
            </w:r>
          </w:p>
        </w:tc>
        <w:tc>
          <w:tcPr>
            <w:tcW w:w="14423" w:type="dxa"/>
            <w:vAlign w:val="top"/>
          </w:tcPr>
          <w:p>
            <w:pPr>
              <w:spacing w:before="40" w:after="40" w:line="240" w:lineRule="auto"/>
              <w:jc w:val="left"/>
            </w:pPr>
            <w:r>
              <w:rPr>
                <w:rFonts w:ascii="Arial" w:hAnsi="Arial" w:eastAsia="Arial" w:cs="Arial"/>
                <w:b w:val="0"/>
                <w:sz w:val="20"/>
                <w:szCs w:val="20"/>
              </w:rPr>
              <w:t>Explain renewable hydrogen production and the function of electrolyser and balance-of-plant systems.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EO4</w:t>
            </w:r>
          </w:p>
        </w:tc>
        <w:tc>
          <w:tcPr>
            <w:tcW w:w="14423" w:type="dxa"/>
            <w:vAlign w:val="top"/>
          </w:tcPr>
          <w:p>
            <w:pPr>
              <w:spacing w:before="40" w:after="40" w:line="240" w:lineRule="auto"/>
              <w:jc w:val="left"/>
            </w:pPr>
            <w:r>
              <w:rPr>
                <w:rFonts w:ascii="Arial" w:hAnsi="Arial" w:eastAsia="Arial" w:cs="Arial"/>
                <w:b w:val="0"/>
                <w:sz w:val="20"/>
                <w:szCs w:val="20"/>
              </w:rPr>
              <w:t>Apply process-safety principles to planned operations, abnormal conditions and emergency scenarios.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EO5</w:t>
            </w:r>
          </w:p>
        </w:tc>
        <w:tc>
          <w:tcPr>
            <w:tcW w:w="14423" w:type="dxa"/>
            <w:vAlign w:val="top"/>
          </w:tcPr>
          <w:p>
            <w:pPr>
              <w:spacing w:before="40" w:after="40" w:line="240" w:lineRule="auto"/>
              <w:jc w:val="left"/>
            </w:pPr>
            <w:r>
              <w:rPr>
                <w:rFonts w:ascii="Arial" w:hAnsi="Arial" w:eastAsia="Arial" w:cs="Arial"/>
                <w:b w:val="0"/>
                <w:sz w:val="20"/>
                <w:szCs w:val="20"/>
              </w:rPr>
              <w:t>Analyse production, quality, utility and maintenance information to recommend bounded improvements.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EO6</w:t>
            </w:r>
          </w:p>
        </w:tc>
        <w:tc>
          <w:tcPr>
            <w:tcW w:w="14423" w:type="dxa"/>
            <w:vAlign w:val="top"/>
          </w:tcPr>
          <w:p>
            <w:pPr>
              <w:spacing w:before="40" w:after="40" w:line="240" w:lineRule="auto"/>
              <w:jc w:val="left"/>
            </w:pPr>
            <w:r>
              <w:rPr>
                <w:rFonts w:ascii="Arial" w:hAnsi="Arial" w:eastAsia="Arial" w:cs="Arial"/>
                <w:b w:val="0"/>
                <w:sz w:val="20"/>
                <w:szCs w:val="20"/>
              </w:rPr>
              <w:t>Complete an integrated operating simulation with documented decisions, safe escalation and performance review.</w:t>
            </w:r>
          </w:p>
        </w:tc>
      </w:tr>
    </w:tbl>
    <w:p w14:paraId="77DF3E76"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t>Fields of Learning in the Republic of Namibia</w:t>
      </w: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7"/>
        <w:gridCol w:w="14459"/>
      </w:tblGrid>
      <w:tr w:rsidR="00484777" w:rsidRPr="008B6C93" w14:paraId="32767CB0" w14:textId="77777777" w:rsidTr="00484777">
        <w:trPr>
          <w:tblHeader/>
        </w:trPr>
        <w:tc>
          <w:tcPr>
            <w:tcW w:w="567" w:type="dxa"/>
            <w:shd w:val="clear" w:color="auto" w:fill="D9D9D9"/>
            <w:vAlign w:val="top"/>
          </w:tcPr>
          <w:p w14:paraId="59F6E304" w14:textId="77777777" w:rsidR="00484777" w:rsidRPr="008B6C93" w:rsidRDefault="00484777" w:rsidP="008862B1">
            <w:pPr>
              <w:pStyle w:val="ListParagraph"/>
              <w:keepNext/>
              <w:spacing w:line="240" w:lineRule="auto" w:before="40" w:after="40"/>
              <w:ind w:left="0" w:hanging="68"/>
              <w:rPr>
                <w:rFonts w:ascii="Arial" w:hAnsi="Arial" w:eastAsia="Arial" w:cs="Arial"/>
                <w:lang w:val="en-US"/>
                <w:sz w:val="20"/>
                <w:szCs w:val="20"/>
              </w:rPr>
            </w:pPr>
            <w:r w:rsidRPr="008B6C93">
              <w:rPr>
                <w:rFonts w:ascii="Arial" w:hAnsi="Arial" w:eastAsia="Arial" w:cs="Arial"/>
                <w:lang w:val="en-US"/>
                <w:sz w:val="20"/>
                <w:szCs w:val="20"/>
              </w:rPr>
              <w:t>No</w:t>
            </w:r>
          </w:p>
        </w:tc>
        <w:tc>
          <w:tcPr>
            <w:tcW w:w="14459" w:type="dxa"/>
            <w:shd w:val="clear" w:color="auto" w:fill="D9D9D9"/>
            <w:vAlign w:val="top"/>
          </w:tcPr>
          <w:p w14:paraId="6F6FE379" w14:textId="083C77E8" w:rsidR="00484777" w:rsidRPr="008B6C93" w:rsidRDefault="00484777" w:rsidP="008862B1">
            <w:pPr>
              <w:pStyle w:val="ListParagraph"/>
              <w:keepNext/>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 xml:space="preserve">NQF </w:t>
            </w:r>
            <w:r w:rsidRPr="008B6C93">
              <w:rPr>
                <w:rFonts w:ascii="Arial" w:hAnsi="Arial" w:eastAsia="Arial" w:cs="Arial"/>
                <w:sz w:val="20"/>
                <w:szCs w:val="20"/>
              </w:rPr>
              <w:t xml:space="preserve">Broad </w:t>
            </w:r>
            <w:r w:rsidRPr="008B6C93">
              <w:rPr>
                <w:rFonts w:ascii="Arial" w:hAnsi="Arial" w:eastAsia="Arial" w:cs="Arial"/>
                <w:lang w:val="en-US"/>
                <w:sz w:val="20"/>
                <w:szCs w:val="20"/>
              </w:rPr>
              <w:t xml:space="preserve">Field(s) </w:t>
            </w:r>
          </w:p>
        </w:tc>
      </w:tr>
      <w:tr w:rsidR="00484777" w:rsidRPr="008B6C93" w14:paraId="2BF09E3E" w14:textId="77777777" w:rsidTr="00484777">
        <w:trPr/>
        <w:tc>
          <w:tcPr>
            <w:tcW w:w="567" w:type="dxa"/>
            <w:vAlign w:val="top"/>
          </w:tcPr>
          <w:p w14:paraId="069A3CCA"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w:t>
            </w:r>
          </w:p>
        </w:tc>
        <w:tc>
          <w:tcPr>
            <w:tcW w:w="14459" w:type="dxa"/>
            <w:vAlign w:val="top"/>
          </w:tcPr>
          <w:p w14:paraId="661AC47B" w14:textId="0C0258B3"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Agriculture and Nature Conservation</w:t>
            </w:r>
          </w:p>
        </w:tc>
      </w:tr>
      <w:tr w:rsidR="00484777" w:rsidRPr="008B6C93" w14:paraId="49BF5576" w14:textId="77777777" w:rsidTr="00484777">
        <w:trPr/>
        <w:tc>
          <w:tcPr>
            <w:tcW w:w="567" w:type="dxa"/>
            <w:vAlign w:val="top"/>
          </w:tcPr>
          <w:p w14:paraId="48F37828"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2</w:t>
            </w:r>
          </w:p>
        </w:tc>
        <w:tc>
          <w:tcPr>
            <w:tcW w:w="14459" w:type="dxa"/>
            <w:vAlign w:val="top"/>
          </w:tcPr>
          <w:p w14:paraId="3F5562E2" w14:textId="2029780C"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Business, Commerce and Management Studies</w:t>
            </w:r>
          </w:p>
        </w:tc>
      </w:tr>
      <w:tr w:rsidR="00484777" w:rsidRPr="008B6C93" w14:paraId="2F93D6D7" w14:textId="77777777" w:rsidTr="00484777">
        <w:trPr/>
        <w:tc>
          <w:tcPr>
            <w:tcW w:w="567" w:type="dxa"/>
            <w:vAlign w:val="top"/>
          </w:tcPr>
          <w:p w14:paraId="4C3E7625"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3</w:t>
            </w:r>
          </w:p>
        </w:tc>
        <w:tc>
          <w:tcPr>
            <w:tcW w:w="14459" w:type="dxa"/>
            <w:vAlign w:val="top"/>
          </w:tcPr>
          <w:p w14:paraId="134740F6" w14:textId="71EF337B"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Communication Studies and Language</w:t>
            </w:r>
          </w:p>
        </w:tc>
      </w:tr>
      <w:tr w:rsidR="00484777" w:rsidRPr="008B6C93" w14:paraId="091A200B" w14:textId="77777777" w:rsidTr="00484777">
        <w:trPr/>
        <w:tc>
          <w:tcPr>
            <w:tcW w:w="567" w:type="dxa"/>
            <w:vAlign w:val="top"/>
          </w:tcPr>
          <w:p w14:paraId="55A5B5CB"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4</w:t>
            </w:r>
          </w:p>
        </w:tc>
        <w:tc>
          <w:tcPr>
            <w:tcW w:w="14459" w:type="dxa"/>
            <w:vAlign w:val="top"/>
          </w:tcPr>
          <w:p w14:paraId="513C15B8" w14:textId="0096EEB2"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Culture and the Arts</w:t>
            </w:r>
          </w:p>
        </w:tc>
      </w:tr>
      <w:tr w:rsidR="00484777" w:rsidRPr="008B6C93" w14:paraId="01A5F9B3" w14:textId="77777777" w:rsidTr="00484777">
        <w:trPr/>
        <w:tc>
          <w:tcPr>
            <w:tcW w:w="567" w:type="dxa"/>
            <w:vAlign w:val="top"/>
          </w:tcPr>
          <w:p w14:paraId="4A4C0490"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5</w:t>
            </w:r>
          </w:p>
        </w:tc>
        <w:tc>
          <w:tcPr>
            <w:tcW w:w="14459" w:type="dxa"/>
            <w:vAlign w:val="top"/>
          </w:tcPr>
          <w:p w14:paraId="6157D57D" w14:textId="394FE3A1"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Education, Training and Development</w:t>
            </w:r>
          </w:p>
        </w:tc>
      </w:tr>
      <w:tr w:rsidR="00484777" w:rsidRPr="008B6C93" w14:paraId="15437FA5" w14:textId="77777777" w:rsidTr="00484777">
        <w:trPr/>
        <w:tc>
          <w:tcPr>
            <w:tcW w:w="567" w:type="dxa"/>
            <w:vAlign w:val="top"/>
          </w:tcPr>
          <w:p w14:paraId="576900F9"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6</w:t>
            </w:r>
          </w:p>
        </w:tc>
        <w:tc>
          <w:tcPr>
            <w:tcW w:w="14459" w:type="dxa"/>
            <w:vAlign w:val="top"/>
          </w:tcPr>
          <w:p w14:paraId="72572C18" w14:textId="48DC5D79"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Manufacturing, Engineering and Technology</w:t>
            </w:r>
          </w:p>
        </w:tc>
      </w:tr>
      <w:tr w:rsidR="00484777" w:rsidRPr="008B6C93" w14:paraId="20F8F484" w14:textId="77777777" w:rsidTr="00484777">
        <w:trPr/>
        <w:tc>
          <w:tcPr>
            <w:tcW w:w="567" w:type="dxa"/>
            <w:vAlign w:val="top"/>
          </w:tcPr>
          <w:p w14:paraId="59849835"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7</w:t>
            </w:r>
          </w:p>
        </w:tc>
        <w:tc>
          <w:tcPr>
            <w:tcW w:w="14459" w:type="dxa"/>
            <w:vAlign w:val="top"/>
          </w:tcPr>
          <w:p w14:paraId="4ED01D18" w14:textId="48FAC2EC"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Human and Social Studies</w:t>
            </w:r>
          </w:p>
        </w:tc>
      </w:tr>
      <w:tr w:rsidR="00484777" w:rsidRPr="008B6C93" w14:paraId="54696A55" w14:textId="77777777" w:rsidTr="00484777">
        <w:trPr/>
        <w:tc>
          <w:tcPr>
            <w:tcW w:w="567" w:type="dxa"/>
            <w:vAlign w:val="top"/>
          </w:tcPr>
          <w:p w14:paraId="09C93AC8"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8</w:t>
            </w:r>
          </w:p>
        </w:tc>
        <w:tc>
          <w:tcPr>
            <w:tcW w:w="14459" w:type="dxa"/>
            <w:vAlign w:val="top"/>
          </w:tcPr>
          <w:p w14:paraId="07E0C16F" w14:textId="5714BB03"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Law, Military Science and Security</w:t>
            </w:r>
          </w:p>
        </w:tc>
      </w:tr>
      <w:tr w:rsidR="00484777" w:rsidRPr="008B6C93" w14:paraId="24343AB2" w14:textId="77777777" w:rsidTr="00484777">
        <w:trPr/>
        <w:tc>
          <w:tcPr>
            <w:tcW w:w="567" w:type="dxa"/>
            <w:vAlign w:val="top"/>
          </w:tcPr>
          <w:p w14:paraId="6B2122C2"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9</w:t>
            </w:r>
          </w:p>
        </w:tc>
        <w:tc>
          <w:tcPr>
            <w:tcW w:w="14459" w:type="dxa"/>
            <w:vAlign w:val="top"/>
          </w:tcPr>
          <w:p w14:paraId="713F4B2F" w14:textId="515755C7"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Health Sciences and Social Services</w:t>
            </w:r>
          </w:p>
        </w:tc>
      </w:tr>
      <w:tr w:rsidR="00484777" w:rsidRPr="008B6C93" w14:paraId="320466B5" w14:textId="77777777" w:rsidTr="00484777">
        <w:trPr/>
        <w:tc>
          <w:tcPr>
            <w:tcW w:w="567" w:type="dxa"/>
            <w:vAlign w:val="top"/>
          </w:tcPr>
          <w:p w14:paraId="02BC7272"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10</w:t>
            </w:r>
          </w:p>
        </w:tc>
        <w:tc>
          <w:tcPr>
            <w:tcW w:w="14459" w:type="dxa"/>
            <w:vAlign w:val="top"/>
          </w:tcPr>
          <w:p w14:paraId="127F203C" w14:textId="1E829E85"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Physical, Mathematical and Computer Sciences</w:t>
            </w:r>
          </w:p>
        </w:tc>
      </w:tr>
      <w:tr w:rsidR="00484777" w:rsidRPr="008B6C93" w14:paraId="62261864" w14:textId="77777777" w:rsidTr="00484777">
        <w:trPr/>
        <w:tc>
          <w:tcPr>
            <w:tcW w:w="567" w:type="dxa"/>
            <w:vAlign w:val="top"/>
          </w:tcPr>
          <w:p w14:paraId="6DE4EE1D"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11</w:t>
            </w:r>
          </w:p>
        </w:tc>
        <w:tc>
          <w:tcPr>
            <w:tcW w:w="14459" w:type="dxa"/>
            <w:vAlign w:val="top"/>
          </w:tcPr>
          <w:p w14:paraId="028FCFDE" w14:textId="14080506"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Physical Planning and Construction</w:t>
            </w:r>
          </w:p>
        </w:tc>
      </w:tr>
      <w:tr w:rsidR="00484777" w:rsidRPr="008B6C93" w14:paraId="68E938D4" w14:textId="77777777" w:rsidTr="00484777">
        <w:trPr/>
        <w:tc>
          <w:tcPr>
            <w:tcW w:w="567" w:type="dxa"/>
            <w:vAlign w:val="top"/>
          </w:tcPr>
          <w:p w14:paraId="6A829CA1"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12</w:t>
            </w:r>
          </w:p>
        </w:tc>
        <w:tc>
          <w:tcPr>
            <w:tcW w:w="14459" w:type="dxa"/>
            <w:vAlign w:val="top"/>
          </w:tcPr>
          <w:p w14:paraId="2FBFB756" w14:textId="12B56D35"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Services and Life Sciences</w:t>
            </w:r>
          </w:p>
        </w:tc>
      </w:tr>
    </w:tbl>
    <w:p w14:paraId="77D6601B" w14:textId="77777777" w:rsidR="00C65B51" w:rsidRPr="008B6C93" w:rsidRDefault="00C65B51">
      <w:pPr>
        <w:spacing w:before="0" w:after="120"/>
        <w:rPr>
          <w:rFonts w:ascii="Arial" w:hAnsi="Arial" w:eastAsia="Arial" w:cs="Arial"/>
          <w:sz w:val="20"/>
          <w:szCs w:val="20"/>
        </w:rPr>
        <w:sectPr w:rsidR="00C65B51" w:rsidRPr="008B6C93">
          <w:pgSz w:w="16838" w:h="11906" w:orient="landscape"/>
          <w:pgMar w:top="850" w:right="907" w:bottom="850" w:left="907" w:header="397" w:footer="397" w:gutter="0"/>
          <w:cols w:space="720"/>
          <w:docGrid w:linePitch="360"/>
        </w:sectPr>
      </w:pPr>
    </w:p>
    <w:p w14:paraId="7631D47B"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Module Outcomes and Fields of Learning</w:t>
      </w:r>
    </w:p>
    <w:p w14:paraId="7ED621AA" w14:textId="467050DF" w:rsidR="00C65B51" w:rsidRPr="008B6C93" w:rsidRDefault="00000000" w:rsidP="00484777">
      <w:pPr>
        <w:keepNext/>
        <w:spacing w:before="0" w:after="120"/>
        <w:jc w:val="both"/>
        <w:rPr>
          <w:rFonts w:ascii="Arial" w:hAnsi="Arial" w:eastAsia="Arial" w:cs="Arial"/>
          <w:sz w:val="20"/>
          <w:szCs w:val="20"/>
        </w:rPr>
      </w:pPr>
      <w:r>
        <w:rPr>
          <w:rFonts w:ascii="Arial" w:hAnsi="Arial" w:eastAsia="Arial" w:cs="Arial"/>
          <w:sz w:val="20"/>
          <w:szCs w:val="20"/>
        </w:rPr>
        <w:t>The following matrix uses proposed broad-field and subfield classifications. Qualification outcomes are coded EO1 to EO6; detailed outcomes and indicative assessment evidence follow the matrix.</w:t>
      </w:r>
    </w:p>
    <w:p w14:paraId="70B16971" w14:textId="77777777" w:rsidR="00C65B51" w:rsidRPr="008B6C93" w:rsidRDefault="00000000">
      <w:pPr>
        <w:spacing w:before="0" w:after="120"/>
        <w:rPr>
          <w:rFonts w:ascii="Arial" w:hAnsi="Arial" w:eastAsia="Arial" w:cs="Arial"/>
          <w:sz w:val="20"/>
          <w:szCs w:val="20"/>
        </w:rPr>
      </w:pPr>
      <w:r>
        <w:rPr>
          <w:rFonts w:ascii="Arial" w:hAnsi="Arial" w:eastAsia="Arial" w:cs="Arial"/>
          <w:sz w:val="20"/>
          <w:szCs w:val="20"/>
        </w:rPr>
        <w:t>Yr = year; Sem = semester; L = NQF level; Cr = credits; NH = notional hours; CH = contact hours. All ten modules are compulsory and at Level 5.</w:t>
      </w:r>
    </w:p>
    <w:tbl>
      <w:tblPr>
        <w:tblW w:w="1488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567"/>
        <w:gridCol w:w="1474"/>
        <w:gridCol w:w="425"/>
        <w:gridCol w:w="567"/>
        <w:gridCol w:w="1814"/>
        <w:gridCol w:w="3033"/>
        <w:gridCol w:w="425"/>
        <w:gridCol w:w="425"/>
        <w:gridCol w:w="709"/>
        <w:gridCol w:w="1417"/>
        <w:gridCol w:w="567"/>
        <w:gridCol w:w="1757"/>
        <w:gridCol w:w="1701"/>
      </w:tblGrid>
      <w:tr w:rsidR="00484777" w:rsidRPr="008B6C93" w14:paraId="3EDCF111" w14:textId="77777777" w:rsidTr="008862B1">
        <w:trPr>
          <w:trHeight w:val="1587" w:hRule="atLeast"/>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vAlign w:val="top"/>
          </w:tcPr>
          <w:p w14:paraId="3C3BA02E"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474" w:type="dxa"/>
            <w:tcBorders>
              <w:top w:val="single" w:sz="4" w:space="0" w:color="000000"/>
              <w:left w:val="single" w:sz="4" w:space="0" w:color="000000"/>
              <w:bottom w:val="single" w:sz="4" w:space="0" w:color="000000"/>
              <w:right w:val="single" w:sz="4" w:space="0" w:color="000000"/>
            </w:tcBorders>
            <w:shd w:val="clear" w:color="auto" w:fill="D9D9D9"/>
            <w:vAlign w:val="top"/>
          </w:tcPr>
          <w:p w14:paraId="567CD209"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425"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0D928E7F"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Year </w:t>
            </w:r>
            <w:r w:rsidRPr="008B6C93">
              <w:rPr>
                <w:rStyle w:val="FootnoteReference"/>
                <w:rFonts w:ascii="Arial" w:hAnsi="Arial" w:eastAsia="Arial" w:cs="Arial"/>
                <w:b/>
                <w:sz w:val="20"/>
                <w:szCs w:val="20"/>
                <w:lang w:val="en-GB"/>
              </w:rPr>
              <w:footnoteReference w:id="8"/>
            </w:r>
          </w:p>
        </w:tc>
        <w:tc>
          <w:tcPr>
            <w:tcW w:w="567"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4A714ED7"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Semester </w:t>
            </w:r>
            <w:r w:rsidRPr="008B6C93">
              <w:rPr>
                <w:rStyle w:val="FootnoteReference"/>
                <w:rFonts w:ascii="Arial" w:hAnsi="Arial" w:eastAsia="Arial" w:cs="Arial"/>
                <w:b/>
                <w:sz w:val="20"/>
                <w:szCs w:val="20"/>
                <w:lang w:val="en-GB"/>
              </w:rPr>
              <w:footnoteReference w:id="9"/>
            </w:r>
          </w:p>
        </w:tc>
        <w:tc>
          <w:tcPr>
            <w:tcW w:w="18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77EA6A7D" w14:textId="77777777" w:rsidR="00484777" w:rsidRPr="008B6C93" w:rsidRDefault="00484777"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3033" w:type="dxa"/>
            <w:tcBorders>
              <w:top w:val="single" w:sz="4" w:space="0" w:color="000000"/>
              <w:left w:val="single" w:sz="4" w:space="0" w:color="000000"/>
              <w:bottom w:val="single" w:sz="4" w:space="0" w:color="000000"/>
              <w:right w:val="single" w:sz="4" w:space="0" w:color="000000"/>
            </w:tcBorders>
            <w:shd w:val="clear" w:color="auto" w:fill="D9D9D9"/>
            <w:vAlign w:val="top"/>
          </w:tcPr>
          <w:p w14:paraId="77043C30"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Learning Outcomes</w:t>
            </w:r>
            <w:r w:rsidRPr="008B6C93">
              <w:rPr>
                <w:rStyle w:val="FootnoteReference"/>
                <w:rFonts w:ascii="Arial" w:hAnsi="Arial" w:eastAsia="Arial" w:cs="Arial"/>
                <w:b/>
                <w:sz w:val="20"/>
                <w:szCs w:val="20"/>
                <w:lang w:val="en-GB"/>
              </w:rPr>
              <w:footnoteReference w:id="10"/>
            </w:r>
            <w:r w:rsidRPr="008B6C93">
              <w:rPr>
                <w:rStyle w:val="None"/>
                <w:rFonts w:ascii="Arial" w:hAnsi="Arial" w:eastAsia="Arial" w:cs="Arial"/>
                <w:b/>
                <w:sz w:val="20"/>
                <w:szCs w:val="20"/>
                <w:lang w:val="en-GB"/>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extDirection w:val="btLr"/>
            <w:vAlign w:val="top"/>
          </w:tcPr>
          <w:p w14:paraId="7885E429" w14:textId="77777777" w:rsidR="00484777" w:rsidRPr="008B6C93" w:rsidRDefault="00484777" w:rsidP="008862B1">
            <w:pPr>
              <w:pStyle w:val="BodyA"/>
              <w:keepNext/>
              <w:spacing w:after="0" w:line="240" w:lineRule="auto" w:before="0"/>
              <w:ind w:left="0" w:right="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NQF Level</w:t>
            </w:r>
          </w:p>
        </w:tc>
        <w:tc>
          <w:tcP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extDirection w:val="btLr"/>
            <w:vAlign w:val="top"/>
          </w:tcPr>
          <w:p w14:paraId="438EFA4C" w14:textId="77777777" w:rsidR="00484777" w:rsidRPr="008B6C93" w:rsidRDefault="00484777" w:rsidP="008862B1">
            <w:pPr>
              <w:pStyle w:val="BodyA"/>
              <w:keepNext/>
              <w:spacing w:after="0" w:line="240" w:lineRule="auto" w:before="0"/>
              <w:ind w:left="0" w:right="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709"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5F2503C2"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17" w:type="dxa"/>
            <w:tcBorders>
              <w:top w:val="single" w:sz="4" w:space="0" w:color="000000"/>
              <w:left w:val="single" w:sz="4" w:space="0" w:color="000000"/>
              <w:bottom w:val="single" w:sz="4" w:space="0" w:color="000000"/>
              <w:right w:val="single" w:sz="4" w:space="0" w:color="000000"/>
            </w:tcBorders>
            <w:shd w:val="clear" w:color="auto" w:fill="D9D9D9"/>
            <w:vAlign w:val="top"/>
          </w:tcPr>
          <w:p w14:paraId="2A0E14A0"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567"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793A0E38"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c>
          <w:tcPr>
            <w:tcW w:w="1757" w:type="dxa"/>
            <w:tcBorders>
              <w:top w:val="single" w:sz="4" w:space="0" w:color="000000"/>
              <w:left w:val="single" w:sz="4" w:space="0" w:color="000000"/>
              <w:bottom w:val="single" w:sz="4" w:space="0" w:color="000000"/>
              <w:right w:val="single" w:sz="4" w:space="0" w:color="000000"/>
            </w:tcBorders>
            <w:shd w:val="clear" w:color="auto" w:fill="D9D9D9"/>
            <w:vAlign w:val="top"/>
          </w:tcPr>
          <w:p w14:paraId="43408137"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Field</w:t>
            </w:r>
            <w:r w:rsidRPr="008B6C93">
              <w:rPr>
                <w:rStyle w:val="FootnoteReference"/>
                <w:rFonts w:ascii="Arial" w:hAnsi="Arial" w:eastAsia="Arial" w:cs="Arial"/>
                <w:b/>
                <w:sz w:val="20"/>
                <w:szCs w:val="20"/>
                <w:lang w:val="en-GB"/>
              </w:rPr>
              <w:footnoteReference w:id="11"/>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top"/>
          </w:tcPr>
          <w:p w14:paraId="1CA9F306"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Sub-Field</w:t>
            </w:r>
            <w:r w:rsidRPr="008B6C93">
              <w:rPr>
                <w:rStyle w:val="FootnoteReference"/>
                <w:rFonts w:ascii="Arial" w:hAnsi="Arial" w:eastAsia="Arial" w:cs="Arial"/>
                <w:b/>
                <w:sz w:val="20"/>
                <w:szCs w:val="20"/>
                <w:lang w:val="en-GB"/>
              </w:rPr>
              <w:footnoteReference w:id="12"/>
            </w:r>
            <w:r w:rsidRPr="008B6C93">
              <w:rPr>
                <w:rStyle w:val="None"/>
                <w:rFonts w:ascii="Arial" w:hAnsi="Arial" w:eastAsia="Arial" w:cs="Arial"/>
                <w:b/>
                <w:sz w:val="20"/>
                <w:szCs w:val="20"/>
                <w:lang w:val="en-GB"/>
              </w:rPr>
              <w:t xml:space="preserve"> </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Analyse audience and purpose to select an appropriate academic or workplace communication format.</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Communication Studies and Language</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English communication</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Explain how people, processes, data and technology interact in an organisational information system.</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Physical, Mathematical and Computer Sciences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Information systems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RHPC-5103</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Renewable Hydrogen Process Chemistry</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Explain renewable hydrogen production using chemical principles and process calculations.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Green Hydrogen Operations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EBPS-5104</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Electrolyser and Balance of Plant Systems</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Interpret the function and operating interactions of electrolyser and auxiliary systems.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Green Hydrogen Operations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HPSR-5105</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Process Safety and Risk Control</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Apply process-safety principles to hydrogen operating scenarios within authorised procedures.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Green Hydrogen Operations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HGSC-5206</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Gas Storage and Compression</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Interpret storage and compression operations and recognise conditions requiring specialist intervention.</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EBPS-5104, HPSR-5105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Green Hydrogen Operations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HWUE-5207</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Water Utilities and Energy Efficiency</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Analyse utility consumption and propose bounded operational efficiency improvements.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RHPC-5103, EBPS-5104</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Green Hydrogen Operations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HPMQ-5208</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Process Monitoring and Quality Assurance</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Interpret process and quality data to support reliable hydrogen production.</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RHPC-5103, EBPS-5104</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Green Hydrogen Operations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HMRP-5209</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Hydrogen Maintenance and Reliability Planning</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Plan routine maintenance support and reliability records within approved competence boundaries.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EBPS-5104, HPSR-5105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Green Hydrogen Operations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IHOS-5210</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Hydrogen Operations Simulation</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Coordinate a simulated operating period and justify safe, evidence-based decisions.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RHPC-5103, EBPS-5104, HPSR-5105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Green Hydrogen Operations</w:t>
            </w:r>
          </w:p>
        </w:tc>
      </w:tr>
    </w:tbl>
    <w:p w14:paraId="5E53A1A1" w14:textId="77777777" w:rsidR="00FF096D" w:rsidRPr="008B6C93" w:rsidRDefault="00FF096D">
      <w:pPr>
        <w:spacing w:before="0" w:after="120"/>
        <w:rPr>
          <w:rFonts w:ascii="Arial" w:hAnsi="Arial" w:eastAsia="Arial" w:cs="Arial"/>
          <w:sz w:val="20"/>
          <w:szCs w:val="20"/>
        </w:rPr>
        <w:sectPr w:rsidR="00FF096D" w:rsidRPr="008B6C93">
          <w:pgSz w:w="16838" w:h="11906" w:orient="landscape"/>
          <w:pgMar w:top="850" w:right="907" w:bottom="850" w:left="907" w:header="397" w:footer="397" w:gutter="0"/>
          <w:cols w:space="720"/>
          <w:docGrid w:linePitch="360"/>
        </w:sectPr>
      </w:pPr>
    </w:p>
    <w:p w14:paraId="61A0489C" w14:textId="6E27D45E" w:rsidR="00FF096D" w:rsidRPr="008B6C93" w:rsidRDefault="00FF096D">
      <w:pPr>
        <w:keepNext/>
        <w:spacing w:before="0" w:after="120"/>
        <w:rPr>
          <w:rFonts w:ascii="Arial" w:hAnsi="Arial" w:eastAsia="Arial" w:cs="Arial"/>
          <w:b/>
          <w:bCs/>
          <w:sz w:val="20"/>
          <w:szCs w:val="20"/>
        </w:rPr>
      </w:pPr>
      <w:r w:rsidRPr="008B6C93">
        <w:rPr>
          <w:rFonts w:ascii="Arial" w:hAnsi="Arial" w:eastAsia="Arial" w:cs="Arial"/>
          <w:b/>
          <w:bCs/>
          <w:sz w:val="20"/>
          <w:szCs w:val="20"/>
        </w:rPr>
        <w:t>Detailed</w:t>
      </w:r>
      <w:r w:rsidR="00594976" w:rsidRPr="008B6C93">
        <w:rPr>
          <w:rFonts w:ascii="Arial" w:hAnsi="Arial" w:eastAsia="Arial" w:cs="Arial"/>
          <w:b/>
          <w:bCs/>
          <w:sz w:val="20"/>
          <w:szCs w:val="20"/>
        </w:rPr>
        <w:t xml:space="preserve"> Outcomes of Learning </w:t>
      </w:r>
    </w:p>
    <w:tbl>
      <w:tblPr>
        <w:tblW w:w="10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1474"/>
        <w:gridCol w:w="1814"/>
        <w:gridCol w:w="3685"/>
        <w:gridCol w:w="1247"/>
        <w:gridCol w:w="850"/>
        <w:gridCol w:w="992"/>
      </w:tblGrid>
      <w:tr w:rsidR="00374014" w:rsidRPr="008B6C93" w14:paraId="3C18A14A" w14:textId="0FD14FEE" w:rsidTr="00374014">
        <w:trPr>
          <w:tblHeader/>
        </w:trPr>
        <w:tc>
          <w:tcPr>
            <w:tcW w:w="1474" w:type="dxa"/>
            <w:tcBorders>
              <w:top w:val="single" w:sz="4" w:space="0" w:color="000000"/>
              <w:left w:val="single" w:sz="4" w:space="0" w:color="000000"/>
              <w:bottom w:val="single" w:sz="4" w:space="0" w:color="000000"/>
              <w:right w:val="single" w:sz="4" w:space="0" w:color="000000"/>
            </w:tcBorders>
            <w:shd w:val="clear" w:color="auto" w:fill="D9D9D9"/>
            <w:vAlign w:val="top"/>
          </w:tcPr>
          <w:p w14:paraId="5D0E66DB"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 xml:space="preserve">Code </w:t>
            </w:r>
          </w:p>
        </w:tc>
        <w:tc>
          <w:tcPr>
            <w:tcW w:w="18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0C8CC5C4"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 xml:space="preserve">Course Title </w:t>
            </w:r>
          </w:p>
        </w:tc>
        <w:tc>
          <w:tcPr>
            <w:tcW w:w="3685" w:type="dxa"/>
            <w:tcBorders>
              <w:top w:val="single" w:sz="4" w:space="0" w:color="000000"/>
              <w:left w:val="single" w:sz="4" w:space="0" w:color="000000"/>
              <w:bottom w:val="single" w:sz="4" w:space="0" w:color="000000"/>
              <w:right w:val="single" w:sz="4" w:space="0" w:color="000000"/>
            </w:tcBorders>
            <w:shd w:val="clear" w:color="auto" w:fill="D9D9D9"/>
            <w:vAlign w:val="top"/>
          </w:tcPr>
          <w:p w14:paraId="0F8B9A64" w14:textId="77777777" w:rsidR="00374014" w:rsidRPr="008B6C93" w:rsidRDefault="00374014" w:rsidP="008862B1">
            <w:pPr>
              <w:keepNext/>
              <w:spacing w:line="240" w:lineRule="auto" w:before="0" w:after="0"/>
              <w:contextualSpacing/>
              <w:jc w:val="left"/>
              <w:rPr>
                <w:rFonts w:ascii="Arial" w:hAnsi="Arial" w:eastAsia="Arial" w:cs="Arial"/>
                <w:b/>
                <w:bCs/>
                <w:sz w:val="20"/>
                <w:szCs w:val="20"/>
              </w:rPr>
            </w:pPr>
            <w:r w:rsidRPr="008B6C93">
              <w:rPr>
                <w:rFonts w:ascii="Arial" w:hAnsi="Arial" w:eastAsia="Arial" w:cs="Arial"/>
                <w:b/>
                <w:bCs/>
                <w:sz w:val="20"/>
                <w:szCs w:val="20"/>
              </w:rPr>
              <w:t>Outcomes of Learning</w:t>
            </w:r>
          </w:p>
          <w:p w14:paraId="79AEABEA" w14:textId="77777777" w:rsidR="00374014" w:rsidRPr="008B6C93" w:rsidRDefault="00374014" w:rsidP="008862B1">
            <w:pPr>
              <w:keepNext/>
              <w:spacing w:line="240" w:lineRule="auto" w:before="0" w:after="0"/>
              <w:contextualSpacing/>
              <w:jc w:val="left"/>
              <w:rPr>
                <w:rFonts w:ascii="Arial" w:hAnsi="Arial" w:eastAsia="Arial" w:cs="Arial"/>
                <w:i/>
                <w:iCs/>
                <w:sz w:val="20"/>
                <w:szCs w:val="20"/>
              </w:rPr>
            </w:pPr>
            <w:r w:rsidRPr="008B6C93">
              <w:rPr>
                <w:rFonts w:ascii="Arial" w:hAnsi="Arial" w:eastAsia="Arial" w:cs="Arial"/>
                <w:b/>
                <w:i/>
                <w:iCs/>
                <w:sz w:val="20"/>
                <w:szCs w:val="20"/>
              </w:rPr>
              <w:t>Upon completing the course, students will be able to:</w:t>
            </w:r>
          </w:p>
        </w:tc>
        <w:tc>
          <w:tcPr>
            <w:tcW w:w="1247" w:type="dxa"/>
            <w:tcBorders>
              <w:top w:val="single" w:sz="4" w:space="0" w:color="000000"/>
              <w:left w:val="single" w:sz="4" w:space="0" w:color="000000"/>
              <w:bottom w:val="single" w:sz="4" w:space="0" w:color="000000"/>
              <w:right w:val="single" w:sz="4" w:space="0" w:color="000000"/>
            </w:tcBorders>
            <w:shd w:val="clear" w:color="auto" w:fill="D9D9D9"/>
            <w:vAlign w:val="top"/>
          </w:tcPr>
          <w:p w14:paraId="3D063C0D" w14:textId="77777777" w:rsidR="00374014" w:rsidRPr="008B6C93" w:rsidRDefault="00374014" w:rsidP="008862B1">
            <w:pPr>
              <w:keepNext/>
              <w:spacing w:line="240" w:lineRule="auto" w:before="0" w:after="0"/>
              <w:contextualSpacing/>
              <w:jc w:val="left"/>
              <w:rPr>
                <w:rFonts w:ascii="Arial" w:hAnsi="Arial" w:eastAsia="Arial" w:cs="Arial"/>
                <w:b/>
                <w:bCs/>
                <w:sz w:val="20"/>
                <w:szCs w:val="20"/>
              </w:rPr>
            </w:pPr>
            <w:r w:rsidRPr="008B6C93">
              <w:rPr>
                <w:rFonts w:ascii="Arial" w:hAnsi="Arial" w:eastAsia="Arial" w:cs="Arial"/>
                <w:b/>
                <w:bCs/>
                <w:sz w:val="20"/>
                <w:szCs w:val="20"/>
              </w:rPr>
              <w:t>Pre-</w:t>
            </w:r>
          </w:p>
          <w:p w14:paraId="333A84EE"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szCs w:val="20"/>
              </w:rPr>
              <w:t>requisites</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670A7FDE" w14:textId="77777777" w:rsidR="00374014" w:rsidRPr="008B6C93" w:rsidRDefault="00374014" w:rsidP="00374014">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Level</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18D84696" w14:textId="77777777" w:rsidR="00374014" w:rsidRPr="008B6C93" w:rsidRDefault="00374014" w:rsidP="00374014">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Credits</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ECAW-5101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English for Communication and Academic Writing</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Analyse audience and purpose to select an appropriate academic or workplace communication format.</w:t>
            </w:r>
          </w:p>
          <w:p>
            <w:pPr>
              <w:tabs>
                <w:tab w:pos="170" w:val="left"/>
              </w:tabs>
              <w:spacing w:before="0" w:after="0"/>
              <w:ind w:left="170" w:hanging="170"/>
            </w:pPr>
            <w:r>
              <w:rPr>
                <w:rFonts w:ascii="Arial" w:hAnsi="Arial" w:eastAsia="Arial" w:cs="Arial"/>
                <w:b w:val="0"/>
                <w:sz w:val="20"/>
                <w:szCs w:val="20"/>
              </w:rPr>
              <w:t>•</w:t>
              <w:tab/>
              <w:t>Locate and appraise sources using relevance, authority and corroboration checks.</w:t>
            </w:r>
          </w:p>
          <w:p>
            <w:pPr>
              <w:tabs>
                <w:tab w:pos="170" w:val="left"/>
              </w:tabs>
              <w:spacing w:before="0" w:after="0"/>
              <w:ind w:left="170" w:hanging="170"/>
            </w:pPr>
            <w:r>
              <w:rPr>
                <w:rFonts w:ascii="Arial" w:hAnsi="Arial" w:eastAsia="Arial" w:cs="Arial"/>
                <w:b w:val="0"/>
                <w:sz w:val="20"/>
                <w:szCs w:val="20"/>
              </w:rPr>
              <w:t>•</w:t>
              <w:tab/>
              <w:t>Construct a supported argument using accurate paragraph structure, evidence and consistent referencing.</w:t>
            </w:r>
          </w:p>
          <w:p>
            <w:pPr>
              <w:tabs>
                <w:tab w:pos="170" w:val="left"/>
              </w:tabs>
              <w:spacing w:before="0" w:after="0"/>
              <w:ind w:left="170" w:hanging="170"/>
            </w:pPr>
            <w:r>
              <w:rPr>
                <w:rFonts w:ascii="Arial" w:hAnsi="Arial" w:eastAsia="Arial" w:cs="Arial"/>
                <w:b w:val="0"/>
                <w:sz w:val="20"/>
                <w:szCs w:val="20"/>
              </w:rPr>
              <w:t>•</w:t>
              <w:tab/>
              <w:t>Deliver an accessible oral briefing and respond to questions using relevant evidence.</w:t>
            </w:r>
          </w:p>
          <w:p>
            <w:pPr>
              <w:tabs>
                <w:tab w:pos="170" w:val="left"/>
              </w:tabs>
              <w:spacing w:before="0" w:after="0"/>
              <w:ind w:left="170" w:hanging="170"/>
            </w:pPr>
            <w:r>
              <w:rPr>
                <w:rFonts w:ascii="Arial" w:hAnsi="Arial" w:eastAsia="Arial" w:cs="Arial"/>
                <w:b w:val="0"/>
                <w:sz w:val="20"/>
                <w:szCs w:val="20"/>
              </w:rPr>
              <w:t>•</w:t>
              <w:tab/>
              <w:t>Edit a report for clarity, grammar and ethical attribution, declaring any permitted AI assistance.</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PISY-5102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Principles of Information Systems</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how people, processes, data and technology interact in an organisational information system.</w:t>
            </w:r>
          </w:p>
          <w:p>
            <w:pPr>
              <w:tabs>
                <w:tab w:pos="170" w:val="left"/>
              </w:tabs>
              <w:spacing w:before="0" w:after="0"/>
              <w:ind w:left="170" w:hanging="170"/>
            </w:pPr>
            <w:r>
              <w:rPr>
                <w:rFonts w:ascii="Arial" w:hAnsi="Arial" w:eastAsia="Arial" w:cs="Arial"/>
                <w:b w:val="0"/>
                <w:sz w:val="20"/>
                <w:szCs w:val="20"/>
              </w:rPr>
              <w:t>•</w:t>
              <w:tab/>
              <w:t>Organise and analyse a small dataset using a spreadsheet and document its quality checks.</w:t>
            </w:r>
          </w:p>
          <w:p>
            <w:pPr>
              <w:tabs>
                <w:tab w:pos="170" w:val="left"/>
              </w:tabs>
              <w:spacing w:before="0" w:after="0"/>
              <w:ind w:left="170" w:hanging="170"/>
            </w:pPr>
            <w:r>
              <w:rPr>
                <w:rFonts w:ascii="Arial" w:hAnsi="Arial" w:eastAsia="Arial" w:cs="Arial"/>
                <w:b w:val="0"/>
                <w:sz w:val="20"/>
                <w:szCs w:val="20"/>
              </w:rPr>
              <w:t>•</w:t>
              <w:tab/>
              <w:t>Evaluate digital information and AI-generated outputs by checking provenance, evidence, bias and fitness for purpose.</w:t>
            </w:r>
          </w:p>
          <w:p>
            <w:pPr>
              <w:tabs>
                <w:tab w:pos="170" w:val="left"/>
              </w:tabs>
              <w:spacing w:before="0" w:after="0"/>
              <w:ind w:left="170" w:hanging="170"/>
            </w:pPr>
            <w:r>
              <w:rPr>
                <w:rFonts w:ascii="Arial" w:hAnsi="Arial" w:eastAsia="Arial" w:cs="Arial"/>
                <w:b w:val="0"/>
                <w:sz w:val="20"/>
                <w:szCs w:val="20"/>
              </w:rPr>
              <w:t>•</w:t>
              <w:tab/>
              <w:t>Apply cybersecurity controls in a training environment, including secure authentication, phishing recognition, updates, backups and incident reporting.</w:t>
            </w:r>
          </w:p>
          <w:p>
            <w:pPr>
              <w:tabs>
                <w:tab w:pos="170" w:val="left"/>
              </w:tabs>
              <w:spacing w:before="0" w:after="0"/>
              <w:ind w:left="170" w:hanging="170"/>
            </w:pPr>
            <w:r>
              <w:rPr>
                <w:rFonts w:ascii="Arial" w:hAnsi="Arial" w:eastAsia="Arial" w:cs="Arial"/>
                <w:b w:val="0"/>
                <w:sz w:val="20"/>
                <w:szCs w:val="20"/>
              </w:rPr>
              <w:t>•</w:t>
              <w:tab/>
              <w:t>Propose a responsible information-system improvement that protects personal information and records human accountability for AI-assisted decisions.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RHPC-5103</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Renewable Hydrogen Process Chemistry</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electrolysis reactions and the relationship between electricity, water and gas production.</w:t>
            </w:r>
          </w:p>
          <w:p>
            <w:pPr>
              <w:tabs>
                <w:tab w:pos="170" w:val="left"/>
              </w:tabs>
              <w:spacing w:before="0" w:after="0"/>
              <w:ind w:left="170" w:hanging="170"/>
            </w:pPr>
            <w:r>
              <w:rPr>
                <w:rFonts w:ascii="Arial" w:hAnsi="Arial" w:eastAsia="Arial" w:cs="Arial"/>
                <w:b w:val="0"/>
                <w:sz w:val="20"/>
                <w:szCs w:val="20"/>
              </w:rPr>
              <w:t>•</w:t>
              <w:tab/>
              <w:t>Calculate mass, energy and efficiency quantities using specified units and assumptions.</w:t>
            </w:r>
          </w:p>
          <w:p>
            <w:pPr>
              <w:tabs>
                <w:tab w:pos="170" w:val="left"/>
              </w:tabs>
              <w:spacing w:before="0" w:after="0"/>
              <w:ind w:left="170" w:hanging="170"/>
            </w:pPr>
            <w:r>
              <w:rPr>
                <w:rFonts w:ascii="Arial" w:hAnsi="Arial" w:eastAsia="Arial" w:cs="Arial"/>
                <w:b w:val="0"/>
                <w:sz w:val="20"/>
                <w:szCs w:val="20"/>
              </w:rPr>
              <w:t>•</w:t>
              <w:tab/>
              <w:t>Distinguish renewable hydrogen from other production pathways using stated system boundaries.</w:t>
            </w:r>
          </w:p>
          <w:p>
            <w:pPr>
              <w:tabs>
                <w:tab w:pos="170" w:val="left"/>
              </w:tabs>
              <w:spacing w:before="0" w:after="0"/>
              <w:ind w:left="170" w:hanging="170"/>
            </w:pPr>
            <w:r>
              <w:rPr>
                <w:rFonts w:ascii="Arial" w:hAnsi="Arial" w:eastAsia="Arial" w:cs="Arial"/>
                <w:b w:val="0"/>
                <w:sz w:val="20"/>
                <w:szCs w:val="20"/>
              </w:rPr>
              <w:t>•</w:t>
              <w:tab/>
              <w:t>Interpret simplified process-flow diagrams and identify key material and energy streams.</w:t>
            </w:r>
          </w:p>
          <w:p>
            <w:pPr>
              <w:tabs>
                <w:tab w:pos="170" w:val="left"/>
              </w:tabs>
              <w:spacing w:before="0" w:after="0"/>
              <w:ind w:left="170" w:hanging="170"/>
            </w:pPr>
            <w:r>
              <w:rPr>
                <w:rFonts w:ascii="Arial" w:hAnsi="Arial" w:eastAsia="Arial" w:cs="Arial"/>
                <w:b w:val="0"/>
                <w:sz w:val="20"/>
                <w:szCs w:val="20"/>
              </w:rPr>
              <w:t>•</w:t>
              <w:tab/>
              <w:t>Check a process calculation for unit consistency and explain how uncertainty affects its operational interpretation.</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EBPS-5104</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Electrolyser and Balance of Plant Systems</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Compare principal electrolyser technologies within a specified operating context.</w:t>
            </w:r>
          </w:p>
          <w:p>
            <w:pPr>
              <w:tabs>
                <w:tab w:pos="170" w:val="left"/>
              </w:tabs>
              <w:spacing w:before="0" w:after="0"/>
              <w:ind w:left="170" w:hanging="170"/>
            </w:pPr>
            <w:r>
              <w:rPr>
                <w:rFonts w:ascii="Arial" w:hAnsi="Arial" w:eastAsia="Arial" w:cs="Arial"/>
                <w:b w:val="0"/>
                <w:sz w:val="20"/>
                <w:szCs w:val="20"/>
              </w:rPr>
              <w:t>•</w:t>
              <w:tab/>
              <w:t>Explain water treatment, cooling, power conversion, separation and purification functions.</w:t>
            </w:r>
          </w:p>
          <w:p>
            <w:pPr>
              <w:tabs>
                <w:tab w:pos="170" w:val="left"/>
              </w:tabs>
              <w:spacing w:before="0" w:after="0"/>
              <w:ind w:left="170" w:hanging="170"/>
            </w:pPr>
            <w:r>
              <w:rPr>
                <w:rFonts w:ascii="Arial" w:hAnsi="Arial" w:eastAsia="Arial" w:cs="Arial"/>
                <w:b w:val="0"/>
                <w:sz w:val="20"/>
                <w:szCs w:val="20"/>
              </w:rPr>
              <w:t>•</w:t>
              <w:tab/>
              <w:t>Interpret operating diagrams and identify interactions between process variables.</w:t>
            </w:r>
          </w:p>
          <w:p>
            <w:pPr>
              <w:tabs>
                <w:tab w:pos="170" w:val="left"/>
              </w:tabs>
              <w:spacing w:before="0" w:after="0"/>
              <w:ind w:left="170" w:hanging="170"/>
            </w:pPr>
            <w:r>
              <w:rPr>
                <w:rFonts w:ascii="Arial" w:hAnsi="Arial" w:eastAsia="Arial" w:cs="Arial"/>
                <w:b w:val="0"/>
                <w:sz w:val="20"/>
                <w:szCs w:val="20"/>
              </w:rPr>
              <w:t>•</w:t>
              <w:tab/>
              <w:t>Trace a supplied fault symptom through system information and identify appropriate escalation.</w:t>
            </w:r>
          </w:p>
          <w:p>
            <w:pPr>
              <w:tabs>
                <w:tab w:pos="170" w:val="left"/>
              </w:tabs>
              <w:spacing w:before="0" w:after="0"/>
              <w:ind w:left="170" w:hanging="170"/>
            </w:pPr>
            <w:r>
              <w:rPr>
                <w:rFonts w:ascii="Arial" w:hAnsi="Arial" w:eastAsia="Arial" w:cs="Arial"/>
                <w:b w:val="0"/>
                <w:sz w:val="20"/>
                <w:szCs w:val="20"/>
              </w:rPr>
              <w:t>•</w:t>
              <w:tab/>
              <w:t>Compare feasible operating responses to a supplied system constraint while retaining all required protective functions.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14</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HPSR-5105</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Hydrogen Process Safety and Risk Control</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hydrogen hazards and the role of ventilation, detection, isolation and protection.</w:t>
            </w:r>
          </w:p>
          <w:p>
            <w:pPr>
              <w:tabs>
                <w:tab w:pos="170" w:val="left"/>
              </w:tabs>
              <w:spacing w:before="0" w:after="0"/>
              <w:ind w:left="170" w:hanging="170"/>
            </w:pPr>
            <w:r>
              <w:rPr>
                <w:rFonts w:ascii="Arial" w:hAnsi="Arial" w:eastAsia="Arial" w:cs="Arial"/>
                <w:b w:val="0"/>
                <w:sz w:val="20"/>
                <w:szCs w:val="20"/>
              </w:rPr>
              <w:t>•</w:t>
              <w:tab/>
              <w:t>Assess a work scenario using specified risk and permit controls.</w:t>
            </w:r>
          </w:p>
          <w:p>
            <w:pPr>
              <w:tabs>
                <w:tab w:pos="170" w:val="left"/>
              </w:tabs>
              <w:spacing w:before="0" w:after="0"/>
              <w:ind w:left="170" w:hanging="170"/>
            </w:pPr>
            <w:r>
              <w:rPr>
                <w:rFonts w:ascii="Arial" w:hAnsi="Arial" w:eastAsia="Arial" w:cs="Arial"/>
                <w:b w:val="0"/>
                <w:sz w:val="20"/>
                <w:szCs w:val="20"/>
              </w:rPr>
              <w:t>•</w:t>
              <w:tab/>
              <w:t>Select safe responses to abnormal conditions without bypassing protective systems.</w:t>
            </w:r>
          </w:p>
          <w:p>
            <w:pPr>
              <w:tabs>
                <w:tab w:pos="170" w:val="left"/>
              </w:tabs>
              <w:spacing w:before="0" w:after="0"/>
              <w:ind w:left="170" w:hanging="170"/>
            </w:pPr>
            <w:r>
              <w:rPr>
                <w:rFonts w:ascii="Arial" w:hAnsi="Arial" w:eastAsia="Arial" w:cs="Arial"/>
                <w:b w:val="0"/>
                <w:sz w:val="20"/>
                <w:szCs w:val="20"/>
              </w:rPr>
              <w:t>•</w:t>
              <w:tab/>
              <w:t>Prepare an emergency communication and escalation record for a simulated event.</w:t>
            </w:r>
          </w:p>
          <w:p>
            <w:pPr>
              <w:tabs>
                <w:tab w:pos="170" w:val="left"/>
              </w:tabs>
              <w:spacing w:before="0" w:after="0"/>
              <w:ind w:left="170" w:hanging="170"/>
            </w:pPr>
            <w:r>
              <w:rPr>
                <w:rFonts w:ascii="Arial" w:hAnsi="Arial" w:eastAsia="Arial" w:cs="Arial"/>
                <w:b w:val="0"/>
                <w:sz w:val="20"/>
                <w:szCs w:val="20"/>
              </w:rPr>
              <w:t>•</w:t>
              <w:tab/>
              <w:t>Explain the evidence needed before an authorised person may permit a safe restart following a simulated incident.</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14</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HGSC-5206</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Hydrogen Gas Storage and Compression</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compression and storage principles and material-compatibility concerns.</w:t>
            </w:r>
          </w:p>
          <w:p>
            <w:pPr>
              <w:tabs>
                <w:tab w:pos="170" w:val="left"/>
              </w:tabs>
              <w:spacing w:before="0" w:after="0"/>
              <w:ind w:left="170" w:hanging="170"/>
            </w:pPr>
            <w:r>
              <w:rPr>
                <w:rFonts w:ascii="Arial" w:hAnsi="Arial" w:eastAsia="Arial" w:cs="Arial"/>
                <w:b w:val="0"/>
                <w:sz w:val="20"/>
                <w:szCs w:val="20"/>
              </w:rPr>
              <w:t>•</w:t>
              <w:tab/>
              <w:t>Interpret supplied pressure, temperature and flow trends against authorised limits.</w:t>
            </w:r>
          </w:p>
          <w:p>
            <w:pPr>
              <w:tabs>
                <w:tab w:pos="170" w:val="left"/>
              </w:tabs>
              <w:spacing w:before="0" w:after="0"/>
              <w:ind w:left="170" w:hanging="170"/>
            </w:pPr>
            <w:r>
              <w:rPr>
                <w:rFonts w:ascii="Arial" w:hAnsi="Arial" w:eastAsia="Arial" w:cs="Arial"/>
                <w:b w:val="0"/>
                <w:sz w:val="20"/>
                <w:szCs w:val="20"/>
              </w:rPr>
              <w:t>•</w:t>
              <w:tab/>
              <w:t>Identify inspection observations requiring immediate escalation or withdrawal.</w:t>
            </w:r>
          </w:p>
          <w:p>
            <w:pPr>
              <w:tabs>
                <w:tab w:pos="170" w:val="left"/>
              </w:tabs>
              <w:spacing w:before="0" w:after="0"/>
              <w:ind w:left="170" w:hanging="170"/>
            </w:pPr>
            <w:r>
              <w:rPr>
                <w:rFonts w:ascii="Arial" w:hAnsi="Arial" w:eastAsia="Arial" w:cs="Arial"/>
                <w:b w:val="0"/>
                <w:sz w:val="20"/>
                <w:szCs w:val="20"/>
              </w:rPr>
              <w:t>•</w:t>
              <w:tab/>
              <w:t>Prepare a safe transfer or storage task checklist from approved procedures.</w:t>
            </w:r>
          </w:p>
          <w:p>
            <w:pPr>
              <w:tabs>
                <w:tab w:pos="170" w:val="left"/>
              </w:tabs>
              <w:spacing w:before="0" w:after="0"/>
              <w:ind w:left="170" w:hanging="170"/>
            </w:pPr>
            <w:r>
              <w:rPr>
                <w:rFonts w:ascii="Arial" w:hAnsi="Arial" w:eastAsia="Arial" w:cs="Arial"/>
                <w:b w:val="0"/>
                <w:sz w:val="20"/>
                <w:szCs w:val="20"/>
              </w:rPr>
              <w:t>•</w:t>
              <w:tab/>
              <w:t>Explain the limits of operator intervention and the records needed for safe handover to authorised maintenance personnel.</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EBPS-5104, HPSR-5105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HWUE-5207</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Hydrogen Water Utilities and Energy Efficiency</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Calculate water and energy consumption per unit of hydrogen from operating data.</w:t>
            </w:r>
          </w:p>
          <w:p>
            <w:pPr>
              <w:tabs>
                <w:tab w:pos="170" w:val="left"/>
              </w:tabs>
              <w:spacing w:before="0" w:after="0"/>
              <w:ind w:left="170" w:hanging="170"/>
            </w:pPr>
            <w:r>
              <w:rPr>
                <w:rFonts w:ascii="Arial" w:hAnsi="Arial" w:eastAsia="Arial" w:cs="Arial"/>
                <w:b w:val="0"/>
                <w:sz w:val="20"/>
                <w:szCs w:val="20"/>
              </w:rPr>
              <w:t>•</w:t>
              <w:tab/>
              <w:t>Explain the effects of water quality and utility interruptions on plant performance.</w:t>
            </w:r>
          </w:p>
          <w:p>
            <w:pPr>
              <w:tabs>
                <w:tab w:pos="170" w:val="left"/>
              </w:tabs>
              <w:spacing w:before="0" w:after="0"/>
              <w:ind w:left="170" w:hanging="170"/>
            </w:pPr>
            <w:r>
              <w:rPr>
                <w:rFonts w:ascii="Arial" w:hAnsi="Arial" w:eastAsia="Arial" w:cs="Arial"/>
                <w:b w:val="0"/>
                <w:sz w:val="20"/>
                <w:szCs w:val="20"/>
              </w:rPr>
              <w:t>•</w:t>
              <w:tab/>
              <w:t>Compare operational options using efficiency, safety and environmental criteria.</w:t>
            </w:r>
          </w:p>
          <w:p>
            <w:pPr>
              <w:tabs>
                <w:tab w:pos="170" w:val="left"/>
              </w:tabs>
              <w:spacing w:before="0" w:after="0"/>
              <w:ind w:left="170" w:hanging="170"/>
            </w:pPr>
            <w:r>
              <w:rPr>
                <w:rFonts w:ascii="Arial" w:hAnsi="Arial" w:eastAsia="Arial" w:cs="Arial"/>
                <w:b w:val="0"/>
                <w:sz w:val="20"/>
                <w:szCs w:val="20"/>
              </w:rPr>
              <w:t>•</w:t>
              <w:tab/>
              <w:t>Prepare a justified improvement proposal with assumptions and monitoring measures.</w:t>
            </w:r>
          </w:p>
          <w:p>
            <w:pPr>
              <w:tabs>
                <w:tab w:pos="170" w:val="left"/>
              </w:tabs>
              <w:spacing w:before="0" w:after="0"/>
              <w:ind w:left="170" w:hanging="170"/>
            </w:pPr>
            <w:r>
              <w:rPr>
                <w:rFonts w:ascii="Arial" w:hAnsi="Arial" w:eastAsia="Arial" w:cs="Arial"/>
                <w:b w:val="0"/>
                <w:sz w:val="20"/>
                <w:szCs w:val="20"/>
              </w:rPr>
              <w:t>•</w:t>
              <w:tab/>
              <w:t>Evaluate the improvement proposal against resource savings, operating limits and reliability requirements.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RHPC-5103, EBPS-5104</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HPMQ-5208</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Hydrogen Process Monitoring and Quality Assurance</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Validate process datasets using calibration, time and unit checks.</w:t>
            </w:r>
          </w:p>
          <w:p>
            <w:pPr>
              <w:tabs>
                <w:tab w:pos="170" w:val="left"/>
              </w:tabs>
              <w:spacing w:before="0" w:after="0"/>
              <w:ind w:left="170" w:hanging="170"/>
            </w:pPr>
            <w:r>
              <w:rPr>
                <w:rFonts w:ascii="Arial" w:hAnsi="Arial" w:eastAsia="Arial" w:cs="Arial"/>
                <w:b w:val="0"/>
                <w:sz w:val="20"/>
                <w:szCs w:val="20"/>
              </w:rPr>
              <w:t>•</w:t>
              <w:tab/>
              <w:t>Analyse trends and distinguish normal variability from deviations requiring action.</w:t>
            </w:r>
          </w:p>
          <w:p>
            <w:pPr>
              <w:tabs>
                <w:tab w:pos="170" w:val="left"/>
              </w:tabs>
              <w:spacing w:before="0" w:after="0"/>
              <w:ind w:left="170" w:hanging="170"/>
            </w:pPr>
            <w:r>
              <w:rPr>
                <w:rFonts w:ascii="Arial" w:hAnsi="Arial" w:eastAsia="Arial" w:cs="Arial"/>
                <w:b w:val="0"/>
                <w:sz w:val="20"/>
                <w:szCs w:val="20"/>
              </w:rPr>
              <w:t>•</w:t>
              <w:tab/>
              <w:t>Interpret supplied product-quality results against specified acceptance criteria.</w:t>
            </w:r>
          </w:p>
          <w:p>
            <w:pPr>
              <w:tabs>
                <w:tab w:pos="170" w:val="left"/>
              </w:tabs>
              <w:spacing w:before="0" w:after="0"/>
              <w:ind w:left="170" w:hanging="170"/>
            </w:pPr>
            <w:r>
              <w:rPr>
                <w:rFonts w:ascii="Arial" w:hAnsi="Arial" w:eastAsia="Arial" w:cs="Arial"/>
                <w:b w:val="0"/>
                <w:sz w:val="20"/>
                <w:szCs w:val="20"/>
              </w:rPr>
              <w:t>•</w:t>
              <w:tab/>
              <w:t>Prepare a production and quality report with traceable decisions and escalations.</w:t>
            </w:r>
          </w:p>
          <w:p>
            <w:pPr>
              <w:tabs>
                <w:tab w:pos="170" w:val="left"/>
              </w:tabs>
              <w:spacing w:before="0" w:after="0"/>
              <w:ind w:left="170" w:hanging="170"/>
            </w:pPr>
            <w:r>
              <w:rPr>
                <w:rFonts w:ascii="Arial" w:hAnsi="Arial" w:eastAsia="Arial" w:cs="Arial"/>
                <w:b w:val="0"/>
                <w:sz w:val="20"/>
                <w:szCs w:val="20"/>
              </w:rPr>
              <w:t>•</w:t>
              <w:tab/>
              <w:t>Recommend follow-up checks when data quality or acceptance evidence is insufficient for a reliable operating decision.</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RHPC-5103, EBPS-5104</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HMRP-5209</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Hydrogen Maintenance and Reliability Planning</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common degradation and failure mechanisms using supplied equipment information.</w:t>
            </w:r>
          </w:p>
          <w:p>
            <w:pPr>
              <w:tabs>
                <w:tab w:pos="170" w:val="left"/>
              </w:tabs>
              <w:spacing w:before="0" w:after="0"/>
              <w:ind w:left="170" w:hanging="170"/>
            </w:pPr>
            <w:r>
              <w:rPr>
                <w:rFonts w:ascii="Arial" w:hAnsi="Arial" w:eastAsia="Arial" w:cs="Arial"/>
                <w:b w:val="0"/>
                <w:sz w:val="20"/>
                <w:szCs w:val="20"/>
              </w:rPr>
              <w:t>•</w:t>
              <w:tab/>
              <w:t>Prioritise routine inspection and maintenance tasks from operating and risk data.</w:t>
            </w:r>
          </w:p>
          <w:p>
            <w:pPr>
              <w:tabs>
                <w:tab w:pos="170" w:val="left"/>
              </w:tabs>
              <w:spacing w:before="0" w:after="0"/>
              <w:ind w:left="170" w:hanging="170"/>
            </w:pPr>
            <w:r>
              <w:rPr>
                <w:rFonts w:ascii="Arial" w:hAnsi="Arial" w:eastAsia="Arial" w:cs="Arial"/>
                <w:b w:val="0"/>
                <w:sz w:val="20"/>
                <w:szCs w:val="20"/>
              </w:rPr>
              <w:t>•</w:t>
              <w:tab/>
              <w:t>Prepare work requests with isolation, permit and specialist-authorisation requirements.</w:t>
            </w:r>
          </w:p>
          <w:p>
            <w:pPr>
              <w:tabs>
                <w:tab w:pos="170" w:val="left"/>
              </w:tabs>
              <w:spacing w:before="0" w:after="0"/>
              <w:ind w:left="170" w:hanging="170"/>
            </w:pPr>
            <w:r>
              <w:rPr>
                <w:rFonts w:ascii="Arial" w:hAnsi="Arial" w:eastAsia="Arial" w:cs="Arial"/>
                <w:b w:val="0"/>
                <w:sz w:val="20"/>
                <w:szCs w:val="20"/>
              </w:rPr>
              <w:t>•</w:t>
              <w:tab/>
              <w:t>Analyse maintenance records to recommend practical reliability improvements.</w:t>
            </w:r>
          </w:p>
          <w:p>
            <w:pPr>
              <w:tabs>
                <w:tab w:pos="170" w:val="left"/>
              </w:tabs>
              <w:spacing w:before="0" w:after="0"/>
              <w:ind w:left="170" w:hanging="170"/>
            </w:pPr>
            <w:r>
              <w:rPr>
                <w:rFonts w:ascii="Arial" w:hAnsi="Arial" w:eastAsia="Arial" w:cs="Arial"/>
                <w:b w:val="0"/>
                <w:sz w:val="20"/>
                <w:szCs w:val="20"/>
              </w:rPr>
              <w:t>•</w:t>
              <w:tab/>
              <w:t>Evaluate whether completed work records provide sufficient evidence for an authorised return-to-service decision.</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EBPS-5104, HPSR-5105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IHOS-5210</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Integrated Hydrogen Operations Simulation</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Prepare an operating plan using process, utility and safety information.</w:t>
            </w:r>
          </w:p>
          <w:p>
            <w:pPr>
              <w:tabs>
                <w:tab w:pos="170" w:val="left"/>
              </w:tabs>
              <w:spacing w:before="0" w:after="0"/>
              <w:ind w:left="170" w:hanging="170"/>
            </w:pPr>
            <w:r>
              <w:rPr>
                <w:rFonts w:ascii="Arial" w:hAnsi="Arial" w:eastAsia="Arial" w:cs="Arial"/>
                <w:b w:val="0"/>
                <w:sz w:val="20"/>
                <w:szCs w:val="20"/>
              </w:rPr>
              <w:t>•</w:t>
              <w:tab/>
              <w:t>Respond to simulated disturbances through approved checks and escalation.</w:t>
            </w:r>
          </w:p>
          <w:p>
            <w:pPr>
              <w:tabs>
                <w:tab w:pos="170" w:val="left"/>
              </w:tabs>
              <w:spacing w:before="0" w:after="0"/>
              <w:ind w:left="170" w:hanging="170"/>
            </w:pPr>
            <w:r>
              <w:rPr>
                <w:rFonts w:ascii="Arial" w:hAnsi="Arial" w:eastAsia="Arial" w:cs="Arial"/>
                <w:b w:val="0"/>
                <w:sz w:val="20"/>
                <w:szCs w:val="20"/>
              </w:rPr>
              <w:t>•</w:t>
              <w:tab/>
              <w:t>Evaluate production, quality and resource performance using traceable records.</w:t>
            </w:r>
          </w:p>
          <w:p>
            <w:pPr>
              <w:tabs>
                <w:tab w:pos="170" w:val="left"/>
              </w:tabs>
              <w:spacing w:before="0" w:after="0"/>
              <w:ind w:left="170" w:hanging="170"/>
            </w:pPr>
            <w:r>
              <w:rPr>
                <w:rFonts w:ascii="Arial" w:hAnsi="Arial" w:eastAsia="Arial" w:cs="Arial"/>
                <w:b w:val="0"/>
                <w:sz w:val="20"/>
                <w:szCs w:val="20"/>
              </w:rPr>
              <w:t>•</w:t>
              <w:tab/>
              <w:t>Present a shift review and propose improvements within delegated operating authority.</w:t>
            </w:r>
          </w:p>
          <w:p>
            <w:pPr>
              <w:tabs>
                <w:tab w:pos="170" w:val="left"/>
              </w:tabs>
              <w:spacing w:before="0" w:after="0"/>
              <w:ind w:left="170" w:hanging="170"/>
            </w:pPr>
            <w:r>
              <w:rPr>
                <w:rFonts w:ascii="Arial" w:hAnsi="Arial" w:eastAsia="Arial" w:cs="Arial"/>
                <w:b w:val="0"/>
                <w:sz w:val="20"/>
                <w:szCs w:val="20"/>
              </w:rPr>
              <w:t>•</w:t>
              <w:tab/>
              <w:t>Evaluate the reliability of the operating evidence and identify unresolved risks for the next shift or specialist team.</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RHPC-5103, EBPS-5104, HPSR-5105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16</w:t>
            </w:r>
          </w:p>
        </w:tc>
      </w:tr>
    </w:tbl>
    <w:p w14:paraId="0CCA4BE6" w14:textId="7C3A3F6E" w:rsidR="00FF096D" w:rsidRPr="008B6C93" w:rsidRDefault="00FF096D">
      <w:pPr>
        <w:spacing w:before="0" w:after="120"/>
        <w:rPr>
          <w:rFonts w:ascii="Arial" w:hAnsi="Arial" w:eastAsia="Arial" w:cs="Arial"/>
          <w:sz w:val="20"/>
          <w:szCs w:val="20"/>
        </w:rPr>
        <w:sectPr w:rsidR="00FF096D" w:rsidRPr="008B6C93" w:rsidSect="00374014">
          <w:pgSz w:w="11906" w:h="16838"/>
          <w:pgMar w:top="907" w:right="850" w:bottom="907" w:left="850" w:header="397" w:footer="397" w:gutter="0"/>
          <w:cols w:space="720"/>
          <w:docGrid w:linePitch="360"/>
        </w:sectPr>
      </w:pPr>
      <w:r w:rsidRPr="008B6C93">
        <w:rPr>
          <w:rFonts w:ascii="Arial" w:hAnsi="Arial" w:eastAsia="Arial" w:cs="Arial"/>
          <w:sz w:val="20"/>
          <w:szCs w:val="20"/>
        </w:rPr>
        <w:t xml:space="preserve"> </w:t>
      </w:r>
    </w:p>
    <w:p w14:paraId="47CE6469" w14:textId="436C8185" w:rsidR="00C65B51" w:rsidRPr="008B6C93" w:rsidRDefault="00374014">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 xml:space="preserve">Qualification Mapping and Learning Resources </w:t>
      </w:r>
    </w:p>
    <w:tbl>
      <w:tblPr>
        <w:tblW w:w="148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2268"/>
        <w:gridCol w:w="1276"/>
        <w:gridCol w:w="5103"/>
        <w:gridCol w:w="5670"/>
      </w:tblGrid>
      <w:tr w:rsidR="0020464B" w:rsidRPr="008B6C93" w14:paraId="3DB62935" w14:textId="77777777" w:rsidTr="002601F3">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6CB904A5" w14:textId="77777777" w:rsidR="0020464B" w:rsidRPr="008B6C93" w:rsidRDefault="0020464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2268" w:type="dxa"/>
            <w:tcBorders>
              <w:top w:val="single" w:sz="4" w:space="0" w:color="000000"/>
              <w:left w:val="single" w:sz="4" w:space="0" w:color="000000"/>
              <w:bottom w:val="single" w:sz="4" w:space="0" w:color="000000"/>
              <w:right w:val="single" w:sz="4" w:space="0" w:color="000000"/>
            </w:tcBorders>
            <w:shd w:val="clear" w:color="auto" w:fill="BFBFBF"/>
            <w:vAlign w:val="top"/>
          </w:tcPr>
          <w:p w14:paraId="10F4229C" w14:textId="4ECCF44F" w:rsidR="0020464B" w:rsidRPr="008B6C93" w:rsidRDefault="0020464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Course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00E0671C" w14:textId="344F5393"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Mapping to QOL</w:t>
            </w:r>
          </w:p>
        </w:tc>
        <w:tc>
          <w:tcPr>
            <w:tcW w:w="51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3BE045A2" w14:textId="1F019684"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 xml:space="preserve">Indicating Assessment Evidence </w:t>
            </w:r>
          </w:p>
        </w:tc>
        <w:tc>
          <w:tcPr>
            <w:tcW w:w="567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5DC34FE" w14:textId="435814B5"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 xml:space="preserve">Key Learning Resources (Prescribed and Recommended) </w:t>
            </w:r>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 – English for Communication and Academic Writing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An individually authored referenced report, annotated source appraisal, editing record and oral briefing with questions; retain drafts and source notes.</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10">
              <w:r>
                <w:rPr>
                  <w:rFonts w:ascii="Arial" w:hAnsi="Arial" w:eastAsia="Arial" w:cs="Arial"/>
                  <w:sz w:val="20"/>
                  <w:szCs w:val="20"/>
                </w:rPr>
                <w:t>Grant, T., &amp; Borcherds, R. (2019). Communicating @ work: Boosting your spoken, written and visual impact (4th ed.). Van Schaik.</w:t>
              </w:r>
            </w:hyperlink>
          </w:p>
          <w:p>
            <w:pPr>
              <w:spacing w:after="40" w:line="240" w:lineRule="auto" w:before="40"/>
            </w:pPr>
            <w:hyperlink r:id="rId11">
              <w:r>
                <w:rPr>
                  <w:rFonts w:ascii="Arial" w:hAnsi="Arial" w:eastAsia="Arial" w:cs="Arial"/>
                  <w:sz w:val="20"/>
                  <w:szCs w:val="20"/>
                </w:rPr>
                <w:t>Jonker, B. E., &amp; Mtshelwane, N. D. P. (Eds.). (2021). Developing soft skills for success: A guide for modern professionals. Van Schaik.</w:t>
              </w:r>
            </w:hyperlink>
          </w:p>
          <w:p>
            <w:pPr>
              <w:spacing w:after="40" w:line="240" w:lineRule="auto" w:before="40"/>
            </w:pPr>
            <w:hyperlink r:id="rId12">
              <w:r>
                <w:rPr>
                  <w:rFonts w:ascii="Arial" w:hAnsi="Arial" w:eastAsia="Arial" w:cs="Arial"/>
                  <w:sz w:val="20"/>
                  <w:szCs w:val="20"/>
                </w:rPr>
                <w:t>Smith, J. (2019). Communication at work: A college-to-career guide to success. eCampusOntario.</w:t>
              </w:r>
            </w:hyperlink>
          </w:p>
          <w:p>
            <w:pPr>
              <w:spacing w:after="40" w:line="240" w:lineRule="auto" w:before="40"/>
            </w:pPr>
            <w:hyperlink r:id="rId13">
              <w:r>
                <w:rPr>
                  <w:rFonts w:ascii="Arial" w:hAnsi="Arial" w:eastAsia="Arial" w:cs="Arial"/>
                  <w:sz w:val="20"/>
                  <w:szCs w:val="20"/>
                </w:rPr>
                <w:t>Robinson, M. B., Jerskey, M., &amp; Fulwiler, T. (2021). Writing guide with handbook. OpenStax.</w:t>
              </w:r>
            </w:hyperlink>
          </w:p>
          <w:p>
            <w:pPr>
              <w:spacing w:after="40" w:line="240" w:lineRule="auto" w:before="40"/>
            </w:pPr>
            <w:hyperlink r:id="rId21">
              <w:r>
                <w:rPr>
                  <w:rFonts w:ascii="Arial" w:hAnsi="Arial" w:eastAsia="Arial" w:cs="Arial"/>
                  <w:sz w:val="20"/>
                  <w:szCs w:val="20"/>
                </w:rPr>
                <w:t>Ireton, C., &amp; Posetti, J. (Eds.). (2018). Journalism, “fake news” &amp; disinformation: Handbook for journalism education and training. UNESCO.</w:t>
              </w:r>
            </w:hyperlink>
          </w:p>
          <w:p>
            <w:pPr>
              <w:spacing w:after="40" w:line="240" w:lineRule="auto" w:before="40"/>
            </w:pPr>
            <w:hyperlink r:id="rId15">
              <w:r>
                <w:rPr>
                  <w:rFonts w:ascii="Arial" w:hAnsi="Arial" w:eastAsia="Arial" w:cs="Arial"/>
                  <w:sz w:val="20"/>
                  <w:szCs w:val="20"/>
                </w:rPr>
                <w:t>Sutton, L. B.-M., &amp; le Roux, T. (2025). Internal communication challenges in corporate South Africa after the COVID-19 pandemic. Communicare: Journal for Communication Studies in Africa, 44(3). https://doi.org/10.36615/8qae9f05</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 – Principles of Information Systems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EO2</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A sandbox portfolio containing a validated spreadsheet, workflow diagram, verified AI-output comparison with source log, phishing-response exercise and privacy-aware improvement proposal. Use synthetic data; no real credentials, personal records or live security testing.</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16">
              <w:r>
                <w:rPr>
                  <w:rFonts w:ascii="Arial" w:hAnsi="Arial" w:eastAsia="Arial" w:cs="Arial"/>
                  <w:sz w:val="20"/>
                  <w:szCs w:val="20"/>
                </w:rPr>
                <w:t>LibreOffice Documentation Team. (2024). Getting started guide 24.8. The Document Foundation.</w:t>
              </w:r>
            </w:hyperlink>
          </w:p>
          <w:p>
            <w:pPr>
              <w:spacing w:after="40" w:line="240" w:lineRule="auto" w:before="40"/>
            </w:pPr>
            <w:hyperlink r:id="rId17">
              <w:r>
                <w:rPr>
                  <w:rFonts w:ascii="Arial" w:hAnsi="Arial" w:eastAsia="Arial" w:cs="Arial"/>
                  <w:sz w:val="20"/>
                  <w:szCs w:val="20"/>
                </w:rPr>
                <w:t>Miao, F., Shiohira, K., &amp; Lao, N. (2024). AI competency framework for students. UNESCO. https://doi.org/10.54675/JKJB9835</w:t>
              </w:r>
            </w:hyperlink>
          </w:p>
          <w:p>
            <w:pPr>
              <w:spacing w:after="40" w:line="240" w:lineRule="auto" w:before="40"/>
            </w:pPr>
            <w:hyperlink r:id="rId18">
              <w:r>
                <w:rPr>
                  <w:rFonts w:ascii="Arial" w:hAnsi="Arial" w:eastAsia="Arial" w:cs="Arial"/>
                  <w:sz w:val="20"/>
                  <w:szCs w:val="20"/>
                </w:rPr>
                <w:t>Miao, F., &amp; Holmes, W. (2023). Guidance for generative AI in education and research. UNESCO. https://doi.org/10.54675/EWZM9535</w:t>
              </w:r>
            </w:hyperlink>
          </w:p>
          <w:p>
            <w:pPr>
              <w:spacing w:after="40" w:line="240" w:lineRule="auto" w:before="40"/>
            </w:pPr>
            <w:hyperlink r:id="rId19">
              <w:r>
                <w:rPr>
                  <w:rFonts w:ascii="Arial" w:hAnsi="Arial" w:eastAsia="Arial" w:cs="Arial"/>
                  <w:sz w:val="20"/>
                  <w:szCs w:val="20"/>
                </w:rPr>
                <w:t>Ministry of Information and Communication Technology. (2022). Namibia national cybersecurity strategy &amp; awareness raising plan 2022–2027.</w:t>
              </w:r>
            </w:hyperlink>
          </w:p>
          <w:p>
            <w:pPr>
              <w:spacing w:after="40" w:line="240" w:lineRule="auto" w:before="40"/>
            </w:pPr>
            <w:hyperlink r:id="rId20">
              <w:r>
                <w:rPr>
                  <w:rFonts w:ascii="Arial" w:hAnsi="Arial" w:eastAsia="Arial" w:cs="Arial"/>
                  <w:sz w:val="20"/>
                  <w:szCs w:val="20"/>
                </w:rPr>
                <w:t>Department of Communications and Digital Technologies. (2020). National digital and future skills strategy South Africa (Government Notice 513, Government Gazette 43730).</w:t>
              </w:r>
            </w:hyperlink>
          </w:p>
          <w:p>
            <w:pPr>
              <w:spacing w:after="40" w:line="240" w:lineRule="auto" w:before="40"/>
            </w:pPr>
            <w:hyperlink r:id="rId21">
              <w:r>
                <w:rPr>
                  <w:rFonts w:ascii="Arial" w:hAnsi="Arial" w:eastAsia="Arial" w:cs="Arial"/>
                  <w:sz w:val="20"/>
                  <w:szCs w:val="20"/>
                </w:rPr>
                <w:t>Ireton, C., &amp; Posetti, J. (Eds.). (2018). Journalism, “fake news” &amp; disinformation: Handbook for journalism education and training. UNESCO.</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RHPC-5103 – Renewable Hydrogen Process Chemistry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Calculation portfolio, diagram interpretation and written examination.</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IRENA — Green Hydrogen Cost Reduction (2020)</w:t>
              </w:r>
            </w:hyperlink>
          </w:p>
          <w:p>
            <w:pPr>
              <w:spacing w:after="40" w:line="240" w:lineRule="auto" w:before="40"/>
            </w:pPr>
            <w:hyperlink r:id="rId68">
              <w:r>
                <w:rPr>
                  <w:rFonts w:ascii="Arial" w:hAnsi="Arial" w:eastAsia="Arial" w:cs="Arial"/>
                  <w:sz w:val="20"/>
                  <w:szCs w:val="20"/>
                </w:rPr>
                <w:t>IEA — Electrolysers</w:t>
              </w:r>
            </w:hyperlink>
          </w:p>
          <w:p>
            <w:pPr>
              <w:spacing w:after="40" w:line="240" w:lineRule="auto" w:before="40"/>
            </w:pPr>
            <w:hyperlink r:id="rId69">
              <w:r>
                <w:rPr>
                  <w:rFonts w:ascii="Arial" w:hAnsi="Arial" w:eastAsia="Arial" w:cs="Arial"/>
                  <w:sz w:val="20"/>
                  <w:szCs w:val="20"/>
                </w:rPr>
                <w:t>US Department of Energy — Is hydrogen safe</w:t>
              </w:r>
            </w:hyperlink>
          </w:p>
          <w:p>
            <w:pPr>
              <w:spacing w:after="40" w:line="240" w:lineRule="auto" w:before="40"/>
            </w:pPr>
            <w:hyperlink r:id="rId70">
              <w:r>
                <w:rPr>
                  <w:rFonts w:ascii="Arial" w:hAnsi="Arial" w:eastAsia="Arial" w:cs="Arial"/>
                  <w:sz w:val="20"/>
                  <w:szCs w:val="20"/>
                </w:rPr>
                <w:t>Ministry of Mines and Energy, Republic of Namibia. (2022). Namibia: Green hydrogen and derivatives strategy.</w:t>
              </w:r>
            </w:hyperlink>
          </w:p>
          <w:p>
            <w:pPr>
              <w:spacing w:after="40" w:line="240" w:lineRule="auto" w:before="40"/>
            </w:pPr>
            <w:hyperlink r:id="rId71">
              <w:r>
                <w:rPr>
                  <w:rFonts w:ascii="Arial" w:hAnsi="Arial" w:eastAsia="Arial" w:cs="Arial"/>
                  <w:sz w:val="20"/>
                  <w:szCs w:val="20"/>
                </w:rPr>
                <w:t>Department of Science and Innovation, Republic of South Africa. (2021). Hydrogen society roadmap for South Africa 2021.</w:t>
              </w:r>
            </w:hyperlink>
          </w:p>
          <w:p>
            <w:pPr>
              <w:spacing w:after="40" w:line="240" w:lineRule="auto" w:before="40"/>
            </w:pPr>
            <w:hyperlink r:id="rId72">
              <w:r>
                <w:rPr>
                  <w:rFonts w:ascii="Arial" w:hAnsi="Arial" w:eastAsia="Arial" w:cs="Arial"/>
                  <w:sz w:val="20"/>
                  <w:szCs w:val="20"/>
                </w:rPr>
                <w:t>International Renewable Energy Agency. (2020). Green hydrogen cost reduction: Scaling up electrolysers to meet the 1.5°C climate goal.</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EBPS-5104 – Electrolyser and Balance of Plant Systems (Level 5, 14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System case study, simulator tasks and technical test.</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IRENA — Green Hydrogen Cost Reduction (2020)</w:t>
              </w:r>
            </w:hyperlink>
          </w:p>
          <w:p>
            <w:pPr>
              <w:spacing w:after="40" w:line="240" w:lineRule="auto" w:before="40"/>
            </w:pPr>
            <w:hyperlink r:id="rId68">
              <w:r>
                <w:rPr>
                  <w:rFonts w:ascii="Arial" w:hAnsi="Arial" w:eastAsia="Arial" w:cs="Arial"/>
                  <w:sz w:val="20"/>
                  <w:szCs w:val="20"/>
                </w:rPr>
                <w:t>IEA — Electrolysers</w:t>
              </w:r>
            </w:hyperlink>
          </w:p>
          <w:p>
            <w:pPr>
              <w:spacing w:after="40" w:line="240" w:lineRule="auto" w:before="40"/>
            </w:pPr>
            <w:hyperlink r:id="rId69">
              <w:r>
                <w:rPr>
                  <w:rFonts w:ascii="Arial" w:hAnsi="Arial" w:eastAsia="Arial" w:cs="Arial"/>
                  <w:sz w:val="20"/>
                  <w:szCs w:val="20"/>
                </w:rPr>
                <w:t>US Department of Energy — Is hydrogen safe</w:t>
              </w:r>
            </w:hyperlink>
          </w:p>
          <w:p>
            <w:pPr>
              <w:spacing w:after="40" w:line="240" w:lineRule="auto" w:before="40"/>
            </w:pPr>
            <w:hyperlink r:id="rId70">
              <w:r>
                <w:rPr>
                  <w:rFonts w:ascii="Arial" w:hAnsi="Arial" w:eastAsia="Arial" w:cs="Arial"/>
                  <w:sz w:val="20"/>
                  <w:szCs w:val="20"/>
                </w:rPr>
                <w:t>Ministry of Mines and Energy, Republic of Namibia. (2022). Namibia: Green hydrogen and derivatives strategy.</w:t>
              </w:r>
            </w:hyperlink>
          </w:p>
          <w:p>
            <w:pPr>
              <w:spacing w:after="40" w:line="240" w:lineRule="auto" w:before="40"/>
            </w:pPr>
            <w:hyperlink r:id="rId71">
              <w:r>
                <w:rPr>
                  <w:rFonts w:ascii="Arial" w:hAnsi="Arial" w:eastAsia="Arial" w:cs="Arial"/>
                  <w:sz w:val="20"/>
                  <w:szCs w:val="20"/>
                </w:rPr>
                <w:t>Department of Science and Innovation, Republic of South Africa. (2021). Hydrogen society roadmap for South Africa 2021.</w:t>
              </w:r>
            </w:hyperlink>
          </w:p>
          <w:p>
            <w:pPr>
              <w:spacing w:after="40" w:line="240" w:lineRule="auto" w:before="40"/>
            </w:pPr>
            <w:hyperlink r:id="rId73">
              <w:r>
                <w:rPr>
                  <w:rFonts w:ascii="Arial" w:hAnsi="Arial" w:eastAsia="Arial" w:cs="Arial"/>
                  <w:sz w:val="20"/>
                  <w:szCs w:val="20"/>
                </w:rPr>
                <w:t>Hubert, M., Esposito, A. M., Peterson, D., Miller, E., &amp; Stanford, J. (2024). Hydrogen Shot: Water electrolysis technology assessment. U.S. Department of Energy.</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HPSR-5105 – Hydrogen Process Safety and Risk Control (Level 5, 14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Observed safety simulation, risk assessment and scenario examination.</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IRENA — Green Hydrogen Cost Reduction (2020)</w:t>
              </w:r>
            </w:hyperlink>
          </w:p>
          <w:p>
            <w:pPr>
              <w:spacing w:after="40" w:line="240" w:lineRule="auto" w:before="40"/>
            </w:pPr>
            <w:hyperlink r:id="rId68">
              <w:r>
                <w:rPr>
                  <w:rFonts w:ascii="Arial" w:hAnsi="Arial" w:eastAsia="Arial" w:cs="Arial"/>
                  <w:sz w:val="20"/>
                  <w:szCs w:val="20"/>
                </w:rPr>
                <w:t>IEA — Electrolysers</w:t>
              </w:r>
            </w:hyperlink>
          </w:p>
          <w:p>
            <w:pPr>
              <w:spacing w:after="40" w:line="240" w:lineRule="auto" w:before="40"/>
            </w:pPr>
            <w:hyperlink r:id="rId69">
              <w:r>
                <w:rPr>
                  <w:rFonts w:ascii="Arial" w:hAnsi="Arial" w:eastAsia="Arial" w:cs="Arial"/>
                  <w:sz w:val="20"/>
                  <w:szCs w:val="20"/>
                </w:rPr>
                <w:t>US Department of Energy — Is hydrogen safe</w:t>
              </w:r>
            </w:hyperlink>
          </w:p>
          <w:p>
            <w:pPr>
              <w:spacing w:after="40" w:line="240" w:lineRule="auto" w:before="40"/>
            </w:pPr>
            <w:hyperlink r:id="rId70">
              <w:r>
                <w:rPr>
                  <w:rFonts w:ascii="Arial" w:hAnsi="Arial" w:eastAsia="Arial" w:cs="Arial"/>
                  <w:sz w:val="20"/>
                  <w:szCs w:val="20"/>
                </w:rPr>
                <w:t>Ministry of Mines and Energy, Republic of Namibia. (2022). Namibia: Green hydrogen and derivatives strategy.</w:t>
              </w:r>
            </w:hyperlink>
          </w:p>
          <w:p>
            <w:pPr>
              <w:spacing w:after="40" w:line="240" w:lineRule="auto" w:before="40"/>
            </w:pPr>
            <w:hyperlink r:id="rId71">
              <w:r>
                <w:rPr>
                  <w:rFonts w:ascii="Arial" w:hAnsi="Arial" w:eastAsia="Arial" w:cs="Arial"/>
                  <w:sz w:val="20"/>
                  <w:szCs w:val="20"/>
                </w:rPr>
                <w:t>Department of Science and Innovation, Republic of South Africa. (2021). Hydrogen society roadmap for South Africa 2021.</w:t>
              </w:r>
            </w:hyperlink>
          </w:p>
          <w:p>
            <w:pPr>
              <w:spacing w:after="40" w:line="240" w:lineRule="auto" w:before="40"/>
            </w:pPr>
            <w:hyperlink r:id="rId73">
              <w:r>
                <w:rPr>
                  <w:rFonts w:ascii="Arial" w:hAnsi="Arial" w:eastAsia="Arial" w:cs="Arial"/>
                  <w:sz w:val="20"/>
                  <w:szCs w:val="20"/>
                </w:rPr>
                <w:t>Hubert, M., Esposito, A. M., Peterson, D., Miller, E., &amp; Stanford, J. (2024). Hydrogen Shot: Water electrolysis technology assessment. U.S. Department of Energy.</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HGSC-5206 – Hydrogen Gas Storage and Compression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Trend-analysis task, checklist and case-based test.</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IRENA — Green Hydrogen Cost Reduction (2020)</w:t>
              </w:r>
            </w:hyperlink>
          </w:p>
          <w:p>
            <w:pPr>
              <w:spacing w:after="40" w:line="240" w:lineRule="auto" w:before="40"/>
            </w:pPr>
            <w:hyperlink r:id="rId68">
              <w:r>
                <w:rPr>
                  <w:rFonts w:ascii="Arial" w:hAnsi="Arial" w:eastAsia="Arial" w:cs="Arial"/>
                  <w:sz w:val="20"/>
                  <w:szCs w:val="20"/>
                </w:rPr>
                <w:t>IEA — Electrolysers</w:t>
              </w:r>
            </w:hyperlink>
          </w:p>
          <w:p>
            <w:pPr>
              <w:spacing w:after="40" w:line="240" w:lineRule="auto" w:before="40"/>
            </w:pPr>
            <w:hyperlink r:id="rId69">
              <w:r>
                <w:rPr>
                  <w:rFonts w:ascii="Arial" w:hAnsi="Arial" w:eastAsia="Arial" w:cs="Arial"/>
                  <w:sz w:val="20"/>
                  <w:szCs w:val="20"/>
                </w:rPr>
                <w:t>US Department of Energy — Is hydrogen safe</w:t>
              </w:r>
            </w:hyperlink>
          </w:p>
          <w:p>
            <w:pPr>
              <w:spacing w:after="40" w:line="240" w:lineRule="auto" w:before="40"/>
            </w:pPr>
            <w:hyperlink r:id="rId70">
              <w:r>
                <w:rPr>
                  <w:rFonts w:ascii="Arial" w:hAnsi="Arial" w:eastAsia="Arial" w:cs="Arial"/>
                  <w:sz w:val="20"/>
                  <w:szCs w:val="20"/>
                </w:rPr>
                <w:t>Ministry of Mines and Energy, Republic of Namibia. (2022). Namibia: Green hydrogen and derivatives strategy.</w:t>
              </w:r>
            </w:hyperlink>
          </w:p>
          <w:p>
            <w:pPr>
              <w:spacing w:after="40" w:line="240" w:lineRule="auto" w:before="40"/>
            </w:pPr>
            <w:hyperlink r:id="rId74">
              <w:r>
                <w:rPr>
                  <w:rFonts w:ascii="Arial" w:hAnsi="Arial" w:eastAsia="Arial" w:cs="Arial"/>
                  <w:sz w:val="20"/>
                  <w:szCs w:val="20"/>
                </w:rPr>
                <w:t>Ruppel, O. C., &amp; Katoole, M. S. (2023). Promoting sustainable development through renewable energy: A regulatory framework for green hydrogen production in Namibia. Hanns Seidel Foundation Namibia.</w:t>
              </w:r>
            </w:hyperlink>
          </w:p>
          <w:p>
            <w:pPr>
              <w:spacing w:after="40" w:line="240" w:lineRule="auto" w:before="40"/>
            </w:pPr>
            <w:hyperlink r:id="rId75">
              <w:r>
                <w:rPr>
                  <w:rFonts w:ascii="Arial" w:hAnsi="Arial" w:eastAsia="Arial" w:cs="Arial"/>
                  <w:sz w:val="20"/>
                  <w:szCs w:val="20"/>
                </w:rPr>
                <w:t>European Hydrogen Safety Panel. (2026). EHSP guidance on hydrogen safety engineering: Guidance document (Version 4.0). Clean Hydrogen Partnership.</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HWUE-5207 – Hydrogen Water Utilities and Energy Efficiency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Utility-data portfolio and improvement presentation.</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IRENA — Green Hydrogen Cost Reduction (2020)</w:t>
              </w:r>
            </w:hyperlink>
          </w:p>
          <w:p>
            <w:pPr>
              <w:spacing w:after="40" w:line="240" w:lineRule="auto" w:before="40"/>
            </w:pPr>
            <w:hyperlink r:id="rId68">
              <w:r>
                <w:rPr>
                  <w:rFonts w:ascii="Arial" w:hAnsi="Arial" w:eastAsia="Arial" w:cs="Arial"/>
                  <w:sz w:val="20"/>
                  <w:szCs w:val="20"/>
                </w:rPr>
                <w:t>IEA — Electrolysers</w:t>
              </w:r>
            </w:hyperlink>
          </w:p>
          <w:p>
            <w:pPr>
              <w:spacing w:after="40" w:line="240" w:lineRule="auto" w:before="40"/>
            </w:pPr>
            <w:hyperlink r:id="rId69">
              <w:r>
                <w:rPr>
                  <w:rFonts w:ascii="Arial" w:hAnsi="Arial" w:eastAsia="Arial" w:cs="Arial"/>
                  <w:sz w:val="20"/>
                  <w:szCs w:val="20"/>
                </w:rPr>
                <w:t>US Department of Energy — Is hydrogen safe</w:t>
              </w:r>
            </w:hyperlink>
          </w:p>
          <w:p>
            <w:pPr>
              <w:spacing w:after="40" w:line="240" w:lineRule="auto" w:before="40"/>
            </w:pPr>
            <w:hyperlink r:id="rId71">
              <w:r>
                <w:rPr>
                  <w:rFonts w:ascii="Arial" w:hAnsi="Arial" w:eastAsia="Arial" w:cs="Arial"/>
                  <w:sz w:val="20"/>
                  <w:szCs w:val="20"/>
                </w:rPr>
                <w:t>Department of Science and Innovation, Republic of South Africa. (2021). Hydrogen society roadmap for South Africa 2021.</w:t>
              </w:r>
            </w:hyperlink>
          </w:p>
          <w:p>
            <w:pPr>
              <w:spacing w:after="40" w:line="240" w:lineRule="auto" w:before="40"/>
            </w:pPr>
            <w:hyperlink r:id="rId74">
              <w:r>
                <w:rPr>
                  <w:rFonts w:ascii="Arial" w:hAnsi="Arial" w:eastAsia="Arial" w:cs="Arial"/>
                  <w:sz w:val="20"/>
                  <w:szCs w:val="20"/>
                </w:rPr>
                <w:t>Ruppel, O. C., &amp; Katoole, M. S. (2023). Promoting sustainable development through renewable energy: A regulatory framework for green hydrogen production in Namibia. Hanns Seidel Foundation Namibia.</w:t>
              </w:r>
            </w:hyperlink>
          </w:p>
          <w:p>
            <w:pPr>
              <w:spacing w:after="40" w:line="240" w:lineRule="auto" w:before="40"/>
            </w:pPr>
            <w:hyperlink r:id="rId73">
              <w:r>
                <w:rPr>
                  <w:rFonts w:ascii="Arial" w:hAnsi="Arial" w:eastAsia="Arial" w:cs="Arial"/>
                  <w:sz w:val="20"/>
                  <w:szCs w:val="20"/>
                </w:rPr>
                <w:t>Hubert, M., Esposito, A. M., Peterson, D., Miller, E., &amp; Stanford, J. (2024). Hydrogen Shot: Water electrolysis technology assessment. U.S. Department of Energy.</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HPMQ-5208 – Hydrogen Process Monitoring and Quality Assurance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Simulator assessment, quality dataset analysis and written report.</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IRENA — Green Hydrogen Cost Reduction (2020)</w:t>
              </w:r>
            </w:hyperlink>
          </w:p>
          <w:p>
            <w:pPr>
              <w:spacing w:after="40" w:line="240" w:lineRule="auto" w:before="40"/>
            </w:pPr>
            <w:hyperlink r:id="rId68">
              <w:r>
                <w:rPr>
                  <w:rFonts w:ascii="Arial" w:hAnsi="Arial" w:eastAsia="Arial" w:cs="Arial"/>
                  <w:sz w:val="20"/>
                  <w:szCs w:val="20"/>
                </w:rPr>
                <w:t>IEA — Electrolysers</w:t>
              </w:r>
            </w:hyperlink>
          </w:p>
          <w:p>
            <w:pPr>
              <w:spacing w:after="40" w:line="240" w:lineRule="auto" w:before="40"/>
            </w:pPr>
            <w:hyperlink r:id="rId69">
              <w:r>
                <w:rPr>
                  <w:rFonts w:ascii="Arial" w:hAnsi="Arial" w:eastAsia="Arial" w:cs="Arial"/>
                  <w:sz w:val="20"/>
                  <w:szCs w:val="20"/>
                </w:rPr>
                <w:t>US Department of Energy — Is hydrogen safe</w:t>
              </w:r>
            </w:hyperlink>
          </w:p>
          <w:p>
            <w:pPr>
              <w:spacing w:after="40" w:line="240" w:lineRule="auto" w:before="40"/>
            </w:pPr>
            <w:hyperlink r:id="rId70">
              <w:r>
                <w:rPr>
                  <w:rFonts w:ascii="Arial" w:hAnsi="Arial" w:eastAsia="Arial" w:cs="Arial"/>
                  <w:sz w:val="20"/>
                  <w:szCs w:val="20"/>
                </w:rPr>
                <w:t>Ministry of Mines and Energy, Republic of Namibia. (2022). Namibia: Green hydrogen and derivatives strategy.</w:t>
              </w:r>
            </w:hyperlink>
          </w:p>
          <w:p>
            <w:pPr>
              <w:spacing w:after="40" w:line="240" w:lineRule="auto" w:before="40"/>
            </w:pPr>
            <w:hyperlink r:id="rId74">
              <w:r>
                <w:rPr>
                  <w:rFonts w:ascii="Arial" w:hAnsi="Arial" w:eastAsia="Arial" w:cs="Arial"/>
                  <w:sz w:val="20"/>
                  <w:szCs w:val="20"/>
                </w:rPr>
                <w:t>Ruppel, O. C., &amp; Katoole, M. S. (2023). Promoting sustainable development through renewable energy: A regulatory framework for green hydrogen production in Namibia. Hanns Seidel Foundation Namibia.</w:t>
              </w:r>
            </w:hyperlink>
          </w:p>
          <w:p>
            <w:pPr>
              <w:spacing w:after="40" w:line="240" w:lineRule="auto" w:before="40"/>
            </w:pPr>
            <w:hyperlink r:id="rId73">
              <w:r>
                <w:rPr>
                  <w:rFonts w:ascii="Arial" w:hAnsi="Arial" w:eastAsia="Arial" w:cs="Arial"/>
                  <w:sz w:val="20"/>
                  <w:szCs w:val="20"/>
                </w:rPr>
                <w:t>Hubert, M., Esposito, A. M., Peterson, D., Miller, E., &amp; Stanford, J. (2024). Hydrogen Shot: Water electrolysis technology assessment. U.S. Department of Energy.</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HMRP-5209 – Hydrogen Maintenance and Reliability Planning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Maintenance planning portfolio and scenario-based knowledge test.</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IRENA — Green Hydrogen Cost Reduction (2020)</w:t>
              </w:r>
            </w:hyperlink>
          </w:p>
          <w:p>
            <w:pPr>
              <w:spacing w:after="40" w:line="240" w:lineRule="auto" w:before="40"/>
            </w:pPr>
            <w:hyperlink r:id="rId68">
              <w:r>
                <w:rPr>
                  <w:rFonts w:ascii="Arial" w:hAnsi="Arial" w:eastAsia="Arial" w:cs="Arial"/>
                  <w:sz w:val="20"/>
                  <w:szCs w:val="20"/>
                </w:rPr>
                <w:t>IEA — Electrolysers</w:t>
              </w:r>
            </w:hyperlink>
          </w:p>
          <w:p>
            <w:pPr>
              <w:spacing w:after="40" w:line="240" w:lineRule="auto" w:before="40"/>
            </w:pPr>
            <w:hyperlink r:id="rId69">
              <w:r>
                <w:rPr>
                  <w:rFonts w:ascii="Arial" w:hAnsi="Arial" w:eastAsia="Arial" w:cs="Arial"/>
                  <w:sz w:val="20"/>
                  <w:szCs w:val="20"/>
                </w:rPr>
                <w:t>US Department of Energy — Is hydrogen safe</w:t>
              </w:r>
            </w:hyperlink>
          </w:p>
          <w:p>
            <w:pPr>
              <w:spacing w:after="40" w:line="240" w:lineRule="auto" w:before="40"/>
            </w:pPr>
            <w:hyperlink r:id="rId70">
              <w:r>
                <w:rPr>
                  <w:rFonts w:ascii="Arial" w:hAnsi="Arial" w:eastAsia="Arial" w:cs="Arial"/>
                  <w:sz w:val="20"/>
                  <w:szCs w:val="20"/>
                </w:rPr>
                <w:t>Ministry of Mines and Energy, Republic of Namibia. (2022). Namibia: Green hydrogen and derivatives strategy.</w:t>
              </w:r>
            </w:hyperlink>
          </w:p>
          <w:p>
            <w:pPr>
              <w:spacing w:after="40" w:line="240" w:lineRule="auto" w:before="40"/>
            </w:pPr>
            <w:hyperlink r:id="rId74">
              <w:r>
                <w:rPr>
                  <w:rFonts w:ascii="Arial" w:hAnsi="Arial" w:eastAsia="Arial" w:cs="Arial"/>
                  <w:sz w:val="20"/>
                  <w:szCs w:val="20"/>
                </w:rPr>
                <w:t>Ruppel, O. C., &amp; Katoole, M. S. (2023). Promoting sustainable development through renewable energy: A regulatory framework for green hydrogen production in Namibia. Hanns Seidel Foundation Namibia.</w:t>
              </w:r>
            </w:hyperlink>
          </w:p>
          <w:p>
            <w:pPr>
              <w:spacing w:after="40" w:line="240" w:lineRule="auto" w:before="40"/>
            </w:pPr>
            <w:hyperlink r:id="rId73">
              <w:r>
                <w:rPr>
                  <w:rFonts w:ascii="Arial" w:hAnsi="Arial" w:eastAsia="Arial" w:cs="Arial"/>
                  <w:sz w:val="20"/>
                  <w:szCs w:val="20"/>
                </w:rPr>
                <w:t>Hubert, M., Esposito, A. M., Peterson, D., Miller, E., &amp; Stanford, J. (2024). Hydrogen Shot: Water electrolysis technology assessment. U.S. Department of Energy.</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IHOS-5210 – Integrated Hydrogen Operations Simulation (Level 5, 16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EO1, EO2, EO3, EO4, EO5, EO6</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Individual operating portfolio, observed simulator performance and oral defence; no uncontrolled live-process activity.</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IRENA — Green Hydrogen Cost Reduction (2020)</w:t>
              </w:r>
            </w:hyperlink>
          </w:p>
          <w:p>
            <w:pPr>
              <w:spacing w:after="40" w:line="240" w:lineRule="auto" w:before="40"/>
            </w:pPr>
            <w:hyperlink r:id="rId68">
              <w:r>
                <w:rPr>
                  <w:rFonts w:ascii="Arial" w:hAnsi="Arial" w:eastAsia="Arial" w:cs="Arial"/>
                  <w:sz w:val="20"/>
                  <w:szCs w:val="20"/>
                </w:rPr>
                <w:t>IEA — Electrolysers</w:t>
              </w:r>
            </w:hyperlink>
          </w:p>
          <w:p>
            <w:pPr>
              <w:spacing w:after="40" w:line="240" w:lineRule="auto" w:before="40"/>
            </w:pPr>
            <w:hyperlink r:id="rId69">
              <w:r>
                <w:rPr>
                  <w:rFonts w:ascii="Arial" w:hAnsi="Arial" w:eastAsia="Arial" w:cs="Arial"/>
                  <w:sz w:val="20"/>
                  <w:szCs w:val="20"/>
                </w:rPr>
                <w:t>US Department of Energy — Is hydrogen safe</w:t>
              </w:r>
            </w:hyperlink>
          </w:p>
          <w:p>
            <w:pPr>
              <w:spacing w:after="40" w:line="240" w:lineRule="auto" w:before="40"/>
            </w:pPr>
            <w:hyperlink r:id="rId70">
              <w:r>
                <w:rPr>
                  <w:rFonts w:ascii="Arial" w:hAnsi="Arial" w:eastAsia="Arial" w:cs="Arial"/>
                  <w:sz w:val="20"/>
                  <w:szCs w:val="20"/>
                </w:rPr>
                <w:t>Ministry of Mines and Energy, Republic of Namibia. (2022). Namibia: Green hydrogen and derivatives strategy.</w:t>
              </w:r>
            </w:hyperlink>
          </w:p>
          <w:p>
            <w:pPr>
              <w:spacing w:after="40" w:line="240" w:lineRule="auto" w:before="40"/>
            </w:pPr>
            <w:hyperlink r:id="rId71">
              <w:r>
                <w:rPr>
                  <w:rFonts w:ascii="Arial" w:hAnsi="Arial" w:eastAsia="Arial" w:cs="Arial"/>
                  <w:sz w:val="20"/>
                  <w:szCs w:val="20"/>
                </w:rPr>
                <w:t>Department of Science and Innovation, Republic of South Africa. (2021). Hydrogen society roadmap for South Africa 2021.</w:t>
              </w:r>
            </w:hyperlink>
          </w:p>
          <w:p>
            <w:pPr>
              <w:spacing w:after="40" w:line="240" w:lineRule="auto" w:before="40"/>
            </w:pPr>
            <w:hyperlink r:id="rId73">
              <w:r>
                <w:rPr>
                  <w:rFonts w:ascii="Arial" w:hAnsi="Arial" w:eastAsia="Arial" w:cs="Arial"/>
                  <w:sz w:val="20"/>
                  <w:szCs w:val="20"/>
                </w:rPr>
                <w:t>Hubert, M., Esposito, A. M., Peterson, D., Miller, E., &amp; Stanford, J. (2024). Hydrogen Shot: Water electrolysis technology assessment. U.S. Department of Energy.</w:t>
              </w:r>
            </w:hyperlink>
          </w:p>
        </w:tc>
      </w:tr>
    </w:tbl>
    <w:p w14:paraId="69544E13" w14:textId="77777777" w:rsidR="00BA2940" w:rsidRPr="008B6C93" w:rsidRDefault="00BA2940" w:rsidP="00BA2940">
      <w:pPr>
        <w:pStyle w:val="Heading1"/>
        <w:spacing w:before="0" w:after="120"/>
        <w:rPr>
          <w:rFonts w:ascii="Arial" w:hAnsi="Arial" w:eastAsia="Arial" w:cs="Arial"/>
          <w:sz w:val="20"/>
          <w:szCs w:val="20"/>
        </w:rPr>
      </w:pPr>
      <w:r w:rsidRPr="008B6C93">
        <w:rPr>
          <w:rFonts w:ascii="Arial" w:hAnsi="Arial" w:eastAsia="Arial" w:cs="Arial"/>
          <w:sz w:val="20"/>
          <w:szCs w:val="20"/>
        </w:rPr>
        <w:t>Comparative Benchmarking</w:t>
      </w:r>
    </w:p>
    <w:p w14:paraId="624416E7" w14:textId="77777777" w:rsidR="00BA2940" w:rsidRPr="008B6C93" w:rsidRDefault="00BA2940" w:rsidP="00BA2940">
      <w:pPr>
        <w:keepNext/>
        <w:spacing w:before="0" w:after="120"/>
        <w:rPr>
          <w:rFonts w:ascii="Arial" w:hAnsi="Arial" w:eastAsia="Arial" w:cs="Arial"/>
          <w:sz w:val="20"/>
          <w:szCs w:val="20"/>
        </w:rPr>
      </w:pPr>
      <w:r w:rsidRPr="008B6C93">
        <w:rPr>
          <w:rFonts w:ascii="Arial" w:hAnsi="Arial" w:eastAsia="Arial" w:cs="Arial"/>
          <w:sz w:val="20"/>
          <w:szCs w:val="20"/>
        </w:rPr>
        <w:t xml:space="preserve">The comparators inform content and assessment design. Foreign levels, credit </w:t>
      </w:r>
      <w:proofErr w:type="gramStart"/>
      <w:r w:rsidRPr="008B6C93">
        <w:rPr>
          <w:rFonts w:ascii="Arial" w:hAnsi="Arial" w:eastAsia="Arial" w:cs="Arial"/>
          <w:sz w:val="20"/>
          <w:szCs w:val="20"/>
        </w:rPr>
        <w:t>values</w:t>
      </w:r>
      <w:proofErr w:type="gramEnd"/>
      <w:r w:rsidRPr="008B6C93">
        <w:rPr>
          <w:rFonts w:ascii="Arial" w:hAnsi="Arial" w:eastAsia="Arial" w:cs="Arial"/>
          <w:sz w:val="20"/>
          <w:szCs w:val="20"/>
        </w:rPr>
        <w:t xml:space="preserve"> and occupational privileges are not treated as equivalent to this proposed Namibian qualification.</w:t>
      </w:r>
    </w:p>
    <w:tbl>
      <w:tblPr>
        <w:tblStyle w:val="TableGrid"/>
        <w:tblW w:w="0" w:type="auto"/>
        <w:tblInd w:w="108" w:type="dxa"/>
        <w:tblLook w:val="04A0" w:firstRow="1" w:lastRow="0" w:firstColumn="1" w:lastColumn="0" w:noHBand="0" w:noVBand="1"/>
      </w:tblPr>
      <w:tblGrid>
        <w:gridCol w:w="1701"/>
        <w:gridCol w:w="3119"/>
        <w:gridCol w:w="2977"/>
        <w:gridCol w:w="2268"/>
        <w:gridCol w:w="5067"/>
      </w:tblGrid>
      <w:tr w:rsidR="00BA2940" w:rsidRPr="008B6C93" w14:paraId="328A2D6D" w14:textId="77777777" w:rsidTr="00BA2940">
        <w:trPr>
          <w:tblHeader/>
        </w:trPr>
        <w:tc>
          <w:tcPr>
            <w:tcW w:w="1701" w:type="dxa"/>
            <w:shd w:val="clear" w:color="auto" w:fill="D9D9D9" w:themeFill="background1" w:themeFillShade="D9"/>
            <w:vAlign w:val="top"/>
          </w:tcPr>
          <w:p w14:paraId="1FCA3176" w14:textId="628226F2"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Context</w:t>
            </w:r>
          </w:p>
        </w:tc>
        <w:tc>
          <w:tcPr>
            <w:tcW w:w="3119" w:type="dxa"/>
            <w:shd w:val="clear" w:color="auto" w:fill="D9D9D9" w:themeFill="background1" w:themeFillShade="D9"/>
            <w:vAlign w:val="top"/>
          </w:tcPr>
          <w:p w14:paraId="2AD83BB5" w14:textId="00682825"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Comparator and source</w:t>
            </w:r>
          </w:p>
        </w:tc>
        <w:tc>
          <w:tcPr>
            <w:tcW w:w="2977" w:type="dxa"/>
            <w:shd w:val="clear" w:color="auto" w:fill="D9D9D9" w:themeFill="background1" w:themeFillShade="D9"/>
            <w:vAlign w:val="top"/>
          </w:tcPr>
          <w:p w14:paraId="44775F4D" w14:textId="36D8BC47"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Relevant features</w:t>
            </w:r>
          </w:p>
        </w:tc>
        <w:tc>
          <w:tcPr>
            <w:tcW w:w="2268" w:type="dxa"/>
            <w:shd w:val="clear" w:color="auto" w:fill="D9D9D9" w:themeFill="background1" w:themeFillShade="D9"/>
            <w:vAlign w:val="top"/>
          </w:tcPr>
          <w:p w14:paraId="328FF0EE" w14:textId="33BBC969"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067" w:type="dxa"/>
            <w:shd w:val="clear" w:color="auto" w:fill="D9D9D9" w:themeFill="background1" w:themeFillShade="D9"/>
            <w:vAlign w:val="top"/>
          </w:tcPr>
          <w:p w14:paraId="571A99C6" w14:textId="462A8C4C"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Adaptation and limits</w:t>
            </w:r>
          </w:p>
        </w:tc>
      </w:tr>
      <w:tr w:rsidR="00BA2940" w:rsidRPr="008B6C93" w14:paraId="6C979BF1" w14:textId="77777777" w:rsidTr="00BA2940">
        <w:trPr/>
        <w:tc>
          <w:tcPr>
            <w:tcW w:w="1701" w:type="dxa"/>
            <w:vAlign w:val="top"/>
          </w:tcPr>
          <w:p>
            <w:pPr>
              <w:spacing w:before="40" w:after="40" w:line="240" w:lineRule="auto"/>
              <w:jc w:val="left"/>
            </w:pPr>
            <w:r>
              <w:rPr>
                <w:rFonts w:ascii="Arial" w:hAnsi="Arial" w:eastAsia="Arial" w:cs="Arial"/>
                <w:b w:val="0"/>
                <w:sz w:val="20"/>
                <w:szCs w:val="20"/>
              </w:rPr>
              <w:t>Comparative curriculum design</w:t>
            </w:r>
          </w:p>
        </w:tc>
        <w:tc>
          <w:tcPr>
            <w:tcW w:w="3119" w:type="dxa"/>
            <w:vAlign w:val="top"/>
          </w:tcPr>
          <w:p>
            <w:pPr>
              <w:spacing w:before="40" w:after="40" w:line="240" w:lineRule="auto"/>
              <w:jc w:val="left"/>
            </w:pPr>
            <w:r>
              <w:rPr>
                <w:rFonts w:ascii="Arial" w:hAnsi="Arial" w:eastAsia="Arial" w:cs="Arial"/>
                <w:b w:val="0"/>
                <w:sz w:val="20"/>
                <w:szCs w:val="20"/>
              </w:rPr>
              <w:t>Current Level 5 benchmarking report for OCOL-5025</w:t>
            </w:r>
          </w:p>
        </w:tc>
        <w:tc>
          <w:tcPr>
            <w:tcW w:w="2977" w:type="dxa"/>
            <w:vAlign w:val="top"/>
          </w:tcPr>
          <w:p>
            <w:pPr>
              <w:spacing w:before="40" w:after="40" w:line="240" w:lineRule="auto"/>
              <w:jc w:val="left"/>
            </w:pPr>
            <w:r>
              <w:rPr>
                <w:rFonts w:ascii="Arial" w:hAnsi="Arial" w:eastAsia="Arial" w:cs="Arial"/>
                <w:b w:val="0"/>
                <w:sz w:val="20"/>
                <w:szCs w:val="20"/>
              </w:rPr>
              <w:t>Process-plant technology is the closest verified operational qualification comparator. Namibia’s IGNITE GH2 initiative provides a workforce-development context, not an equivalent qualification. The College should retain hydrogen-specific safety and system interfaces and demonstrate them through controlled simulation. The named comparators and their scope differences are documented in the accompanying Benchmarking Report.</w:t>
            </w:r>
          </w:p>
        </w:tc>
        <w:tc>
          <w:tcPr>
            <w:tcW w:w="2268" w:type="dxa"/>
            <w:vAlign w:val="top"/>
          </w:tcPr>
          <w:p>
            <w:pPr>
              <w:spacing w:before="40" w:after="40" w:line="240" w:lineRule="auto"/>
              <w:jc w:val="left"/>
            </w:pPr>
            <w:r>
              <w:rPr>
                <w:rFonts w:ascii="Arial" w:hAnsi="Arial" w:eastAsia="Arial" w:cs="Arial"/>
                <w:b w:val="0"/>
                <w:sz w:val="20"/>
                <w:szCs w:val="20"/>
              </w:rPr>
              <w:t>RHPC-5103, EBPS-5104, HPSR-5105, HGSC-5206, HWUE-5207, HPMQ-5208, HMRP-5209, IHOS-5210</w:t>
            </w:r>
          </w:p>
        </w:tc>
        <w:tc>
          <w:tcPr>
            <w:tcW w:w="5067" w:type="dxa"/>
            <w:vAlign w:val="top"/>
          </w:tcPr>
          <w:p>
            <w:pPr>
              <w:spacing w:before="40" w:after="40" w:line="240" w:lineRule="auto"/>
              <w:jc w:val="left"/>
            </w:pPr>
            <w:r>
              <w:rPr>
                <w:rFonts w:ascii="Arial" w:hAnsi="Arial" w:eastAsia="Arial" w:cs="Arial"/>
                <w:b w:val="0"/>
                <w:sz w:val="20"/>
                <w:szCs w:val="20"/>
              </w:rPr>
              <w:t>Comparators inform content and assessment; no automatic equivalence, professional status or credit transfer is claimed.</w:t>
            </w:r>
          </w:p>
        </w:tc>
      </w:tr>
    </w:tbl>
    <w:p w14:paraId="6AE23700" w14:textId="77777777" w:rsidR="00BA2940" w:rsidRPr="008B6C93" w:rsidRDefault="00BA2940" w:rsidP="00BA2940">
      <w:pPr>
        <w:pStyle w:val="Heading1"/>
        <w:spacing w:before="0" w:after="120"/>
        <w:rPr>
          <w:rFonts w:ascii="Arial" w:hAnsi="Arial" w:eastAsia="Arial" w:cs="Arial"/>
          <w:sz w:val="20"/>
          <w:szCs w:val="20"/>
        </w:rPr>
      </w:pPr>
      <w:r w:rsidRPr="008B6C93">
        <w:rPr>
          <w:rFonts w:ascii="Arial" w:hAnsi="Arial" w:eastAsia="Arial" w:cs="Arial"/>
          <w:sz w:val="20"/>
          <w:szCs w:val="20"/>
        </w:rPr>
        <w:t>Oranjemund and Regional Needs</w:t>
      </w:r>
    </w:p>
    <w:tbl>
      <w:tblPr>
        <w:tblStyle w:val="TableGrid"/>
        <w:tblW w:w="0" w:type="auto"/>
        <w:tblInd w:w="108" w:type="dxa"/>
        <w:tblLook w:val="04A0" w:firstRow="1" w:lastRow="0" w:firstColumn="1" w:lastColumn="0" w:noHBand="0" w:noVBand="1"/>
      </w:tblPr>
      <w:tblGrid>
        <w:gridCol w:w="3702"/>
        <w:gridCol w:w="3810"/>
        <w:gridCol w:w="2553"/>
        <w:gridCol w:w="5067"/>
      </w:tblGrid>
      <w:tr w:rsidR="00BA2940" w:rsidRPr="008B6C93" w14:paraId="2FDFB843" w14:textId="77777777" w:rsidTr="009D0658">
        <w:trPr>
          <w:tblHeader/>
        </w:trPr>
        <w:tc>
          <w:tcPr>
            <w:tcW w:w="3702" w:type="dxa"/>
            <w:shd w:val="clear" w:color="auto" w:fill="D9D9D9" w:themeFill="background1" w:themeFillShade="D9"/>
            <w:vAlign w:val="top"/>
          </w:tcPr>
          <w:p w14:paraId="20E70E69" w14:textId="0E89EDC3"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Contextual need</w:t>
            </w:r>
          </w:p>
        </w:tc>
        <w:tc>
          <w:tcPr>
            <w:tcW w:w="3810" w:type="dxa"/>
            <w:shd w:val="clear" w:color="auto" w:fill="D9D9D9" w:themeFill="background1" w:themeFillShade="D9"/>
            <w:vAlign w:val="top"/>
          </w:tcPr>
          <w:p w14:paraId="5B20949B" w14:textId="1715341A"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Evidence source</w:t>
            </w:r>
          </w:p>
        </w:tc>
        <w:tc>
          <w:tcPr>
            <w:tcW w:w="2553" w:type="dxa"/>
            <w:shd w:val="clear" w:color="auto" w:fill="D9D9D9" w:themeFill="background1" w:themeFillShade="D9"/>
            <w:vAlign w:val="top"/>
          </w:tcPr>
          <w:p w14:paraId="0BF1DC92" w14:textId="237C8EE8"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067" w:type="dxa"/>
            <w:shd w:val="clear" w:color="auto" w:fill="D9D9D9" w:themeFill="background1" w:themeFillShade="D9"/>
            <w:vAlign w:val="top"/>
          </w:tcPr>
          <w:p w14:paraId="58A793D8" w14:textId="7C831C5D"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Assessed learning response</w:t>
            </w:r>
          </w:p>
        </w:tc>
      </w:tr>
      <w:tr w:rsidR="00BA2940" w:rsidRPr="008B6C93" w14:paraId="6C177CFC" w14:textId="77777777" w:rsidTr="009D0658">
        <w:trPr/>
        <w:tc>
          <w:tcPr>
            <w:tcW w:w="3702" w:type="dxa"/>
            <w:vAlign w:val="top"/>
          </w:tcPr>
          <w:p>
            <w:pPr>
              <w:spacing w:before="40" w:after="40" w:line="240" w:lineRule="auto"/>
              <w:jc w:val="left"/>
            </w:pPr>
            <w:r>
              <w:rPr>
                <w:rFonts w:ascii="Arial" w:hAnsi="Arial" w:eastAsia="Arial" w:cs="Arial"/>
                <w:b w:val="0"/>
                <w:sz w:val="20"/>
                <w:szCs w:val="20"/>
              </w:rPr>
              <w:t>Programme rationale and regional context</w:t>
            </w:r>
          </w:p>
        </w:tc>
        <w:tc>
          <w:tcPr>
            <w:tcW w:w="3810" w:type="dxa"/>
            <w:vAlign w:val="top"/>
          </w:tcPr>
          <w:p>
            <w:pPr>
              <w:spacing w:before="40" w:after="40" w:line="240" w:lineRule="auto"/>
              <w:jc w:val="left"/>
            </w:pPr>
            <w:r>
              <w:rPr>
                <w:rFonts w:ascii="Arial" w:hAnsi="Arial" w:eastAsia="Arial" w:cs="Arial"/>
                <w:b w:val="0"/>
                <w:sz w:val="20"/>
                <w:szCs w:val="20"/>
              </w:rPr>
              <w:t>Namibia is investing in hydrogen-related skills development, but project announcements and workforce projections do not establish guaranteed jobs. The case for this diploma is conditional on verified occupational tasks, safe training capacity and evidence of investment-linked employer demand.</w:t>
            </w:r>
          </w:p>
        </w:tc>
        <w:tc>
          <w:tcPr>
            <w:tcW w:w="2553" w:type="dxa"/>
            <w:vAlign w:val="top"/>
          </w:tcPr>
          <w:p>
            <w:pPr>
              <w:spacing w:before="40" w:after="40" w:line="240" w:lineRule="auto"/>
              <w:jc w:val="left"/>
            </w:pPr>
            <w:r>
              <w:rPr>
                <w:rFonts w:ascii="Arial" w:hAnsi="Arial" w:eastAsia="Arial" w:cs="Arial"/>
                <w:b w:val="0"/>
                <w:sz w:val="20"/>
                <w:szCs w:val="20"/>
              </w:rPr>
              <w:t>RHPC-5103, EBPS-5104, HPSR-5105, HGSC-5206, HWUE-5207, HPMQ-5208, HMRP-5209, IHOS-5210</w:t>
            </w:r>
          </w:p>
        </w:tc>
        <w:tc>
          <w:tcPr>
            <w:tcW w:w="5067" w:type="dxa"/>
            <w:vAlign w:val="top"/>
          </w:tcPr>
          <w:p>
            <w:pPr>
              <w:spacing w:before="40" w:after="40" w:line="240" w:lineRule="auto"/>
              <w:jc w:val="left"/>
            </w:pPr>
            <w:r>
              <w:rPr>
                <w:rFonts w:ascii="Arial" w:hAnsi="Arial" w:eastAsia="Arial" w:cs="Arial"/>
                <w:b w:val="0"/>
                <w:sz w:val="20"/>
                <w:szCs w:val="20"/>
              </w:rPr>
              <w:t>The individual integrated project and module assessment evidence listed above test the proposed capabilities. The separate needs analysis retains unresolved demand and consultation evidence.</w:t>
            </w:r>
          </w:p>
        </w:tc>
      </w:tr>
    </w:tbl>
    <w:p w14:paraId="730E0EBC"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National and Sector Policy Alignment</w:t>
      </w:r>
    </w:p>
    <w:tbl>
      <w:tblPr>
        <w:tblStyle w:val="TableGrid"/>
        <w:tblW w:w="0" w:type="auto"/>
        <w:tblInd w:w="108" w:type="dxa"/>
        <w:tblLook w:val="04A0" w:firstRow="1" w:lastRow="0" w:firstColumn="1" w:lastColumn="0" w:noHBand="0" w:noVBand="1"/>
      </w:tblPr>
      <w:tblGrid>
        <w:gridCol w:w="2977"/>
        <w:gridCol w:w="4535"/>
        <w:gridCol w:w="1702"/>
        <w:gridCol w:w="5918"/>
      </w:tblGrid>
      <w:tr w:rsidR="00BA2940" w:rsidRPr="008B6C93" w14:paraId="67318C23" w14:textId="77777777" w:rsidTr="00BA2940">
        <w:trPr>
          <w:tblHeader/>
        </w:trPr>
        <w:tc>
          <w:tcPr>
            <w:tcW w:w="2977" w:type="dxa"/>
            <w:shd w:val="clear" w:color="auto" w:fill="D9D9D9" w:themeFill="background1" w:themeFillShade="D9"/>
            <w:vAlign w:val="top"/>
          </w:tcPr>
          <w:p w14:paraId="28A1F241" w14:textId="5CBFF134"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Policy or framework</w:t>
            </w:r>
          </w:p>
        </w:tc>
        <w:tc>
          <w:tcPr>
            <w:tcW w:w="4535" w:type="dxa"/>
            <w:shd w:val="clear" w:color="auto" w:fill="D9D9D9" w:themeFill="background1" w:themeFillShade="D9"/>
            <w:vAlign w:val="top"/>
          </w:tcPr>
          <w:p w14:paraId="67D77324" w14:textId="6A0E9874"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Relevant priority or theme</w:t>
            </w:r>
          </w:p>
        </w:tc>
        <w:tc>
          <w:tcPr>
            <w:tcW w:w="1702" w:type="dxa"/>
            <w:shd w:val="clear" w:color="auto" w:fill="D9D9D9" w:themeFill="background1" w:themeFillShade="D9"/>
            <w:vAlign w:val="top"/>
          </w:tcPr>
          <w:p w14:paraId="4F690983" w14:textId="4CFB8BCE"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918" w:type="dxa"/>
            <w:shd w:val="clear" w:color="auto" w:fill="D9D9D9" w:themeFill="background1" w:themeFillShade="D9"/>
            <w:vAlign w:val="top"/>
          </w:tcPr>
          <w:p w14:paraId="0B9ED3D7" w14:textId="692F4CBA"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Curriculum response</w:t>
            </w:r>
          </w:p>
        </w:tc>
      </w:tr>
      <w:tr w:rsidR="00BA2940" w:rsidRPr="008B6C93" w14:paraId="601804E2" w14:textId="77777777" w:rsidTr="00BA2940">
        <w:trPr/>
        <w:tc>
          <w:tcPr>
            <w:tcW w:w="2977" w:type="dxa"/>
            <w:vAlign w:val="top"/>
          </w:tcPr>
          <w:p>
            <w:pPr>
              <w:spacing w:before="40" w:after="40" w:line="240" w:lineRule="auto"/>
              <w:jc w:val="left"/>
            </w:pPr>
            <w:r>
              <w:rPr>
                <w:rFonts w:ascii="Arial" w:hAnsi="Arial" w:eastAsia="Arial" w:cs="Arial"/>
                <w:b w:val="0"/>
                <w:sz w:val="20"/>
                <w:szCs w:val="20"/>
              </w:rPr>
              <w:t>Namibian National Qualifications Framework: GN 125 of 2006, regulation 5 and Annexures A and C</w:t>
            </w:r>
          </w:p>
        </w:tc>
        <w:tc>
          <w:tcPr>
            <w:tcW w:w="4535" w:type="dxa"/>
            <w:vAlign w:val="top"/>
          </w:tcPr>
          <w:p>
            <w:pPr>
              <w:spacing w:before="40" w:after="40" w:line="240" w:lineRule="auto"/>
              <w:jc w:val="left"/>
            </w:pPr>
            <w:r>
              <w:rPr>
                <w:rFonts w:ascii="Arial" w:hAnsi="Arial" w:eastAsia="Arial" w:cs="Arial"/>
                <w:b w:val="0"/>
                <w:sz w:val="20"/>
                <w:szCs w:val="20"/>
              </w:rPr>
              <w:t>Level descriptors, qualification specification and ten notional hours per credit</w:t>
            </w:r>
          </w:p>
        </w:tc>
        <w:tc>
          <w:tcPr>
            <w:tcW w:w="1702" w:type="dxa"/>
            <w:vAlign w:val="top"/>
          </w:tcPr>
          <w:p>
            <w:pPr>
              <w:spacing w:before="40" w:after="40" w:line="240" w:lineRule="auto"/>
              <w:jc w:val="left"/>
            </w:pPr>
            <w:r>
              <w:rPr>
                <w:rFonts w:ascii="Arial" w:hAnsi="Arial" w:eastAsia="Arial" w:cs="Arial"/>
                <w:b w:val="0"/>
                <w:sz w:val="20"/>
                <w:szCs w:val="20"/>
              </w:rPr>
              <w:t>All modules</w:t>
            </w:r>
          </w:p>
        </w:tc>
        <w:tc>
          <w:tcPr>
            <w:tcW w:w="5918" w:type="dxa"/>
            <w:vAlign w:val="top"/>
          </w:tcPr>
          <w:p>
            <w:pPr>
              <w:spacing w:before="40" w:after="40" w:line="240" w:lineRule="auto"/>
              <w:jc w:val="left"/>
            </w:pPr>
            <w:r>
              <w:rPr>
                <w:rFonts w:ascii="Arial" w:hAnsi="Arial" w:eastAsia="Arial" w:cs="Arial"/>
                <w:b w:val="0"/>
                <w:sz w:val="20"/>
                <w:szCs w:val="20"/>
              </w:rPr>
              <w:t>Level 5 outcomes, 120 credits, 1,200 notional hours and explicit assessment mapping. Registration and approval are not asserted.</w:t>
            </w:r>
          </w:p>
        </w:tc>
      </w:tr>
      <w:tr w:rsidR="00BA2940" w:rsidRPr="008B6C93" w14:paraId="601804E2" w14:textId="77777777" w:rsidTr="00BA2940">
        <w:trPr/>
        <w:tc>
          <w:tcPr>
            <w:tcW w:w="2977" w:type="dxa"/>
            <w:vAlign w:val="top"/>
          </w:tcPr>
          <w:p>
            <w:pPr>
              <w:spacing w:before="40" w:after="40" w:line="240" w:lineRule="auto"/>
              <w:jc w:val="left"/>
            </w:pPr>
            <w:r>
              <w:rPr>
                <w:rFonts w:ascii="Arial" w:hAnsi="Arial" w:eastAsia="Arial" w:cs="Arial"/>
                <w:b w:val="0"/>
                <w:sz w:val="20"/>
                <w:szCs w:val="20"/>
              </w:rPr>
              <w:t>UNESCO (2024). AI competency framework for students.</w:t>
            </w:r>
          </w:p>
        </w:tc>
        <w:tc>
          <w:tcPr>
            <w:tcW w:w="4535" w:type="dxa"/>
            <w:vAlign w:val="top"/>
          </w:tcPr>
          <w:p>
            <w:pPr>
              <w:spacing w:before="40" w:after="40" w:line="240" w:lineRule="auto"/>
              <w:jc w:val="left"/>
            </w:pPr>
            <w:r>
              <w:rPr>
                <w:rFonts w:ascii="Arial" w:hAnsi="Arial" w:eastAsia="Arial" w:cs="Arial"/>
                <w:b w:val="0"/>
                <w:sz w:val="20"/>
                <w:szCs w:val="20"/>
              </w:rPr>
              <w:t>Responsible AI use, critical evaluation and human oversight</w:t>
            </w:r>
          </w:p>
        </w:tc>
        <w:tc>
          <w:tcPr>
            <w:tcW w:w="1702" w:type="dxa"/>
            <w:vAlign w:val="top"/>
          </w:tcPr>
          <w:p>
            <w:pPr>
              <w:spacing w:before="40" w:after="40" w:line="240" w:lineRule="auto"/>
              <w:jc w:val="left"/>
            </w:pPr>
            <w:r>
              <w:rPr>
                <w:rFonts w:ascii="Arial" w:hAnsi="Arial" w:eastAsia="Arial" w:cs="Arial"/>
                <w:b w:val="0"/>
                <w:sz w:val="20"/>
                <w:szCs w:val="20"/>
              </w:rPr>
              <w:t>PISY-5102; ECAW-5101</w:t>
            </w:r>
          </w:p>
        </w:tc>
        <w:tc>
          <w:tcPr>
            <w:tcW w:w="5918" w:type="dxa"/>
            <w:vAlign w:val="top"/>
          </w:tcPr>
          <w:p>
            <w:pPr>
              <w:spacing w:before="40" w:after="40" w:line="240" w:lineRule="auto"/>
              <w:jc w:val="left"/>
            </w:pPr>
            <w:r>
              <w:rPr>
                <w:rFonts w:ascii="Arial" w:hAnsi="Arial" w:eastAsia="Arial" w:cs="Arial"/>
                <w:b w:val="0"/>
                <w:sz w:val="20"/>
                <w:szCs w:val="20"/>
              </w:rPr>
              <w:t>Verify AI-assisted outputs, disclose permitted assistance, protect data and retain individual evidence. The framework informs teaching rather than conferring regulatory approval.</w:t>
            </w:r>
          </w:p>
        </w:tc>
      </w:tr>
    </w:tbl>
    <w:sectPr w:rsidR="00C65B51" w:rsidRPr="008B6C93" w:rsidSect="00BA2940">
      <w:pgSz w:w="16838" w:h="11906" w:orient="landscape"/>
      <w:pgMar w:top="907" w:right="850" w:bottom="907" w:left="85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C7AD1E" w14:textId="77777777" w:rsidR="00B31F24" w:rsidRDefault="00B31F24">
      <w:pPr>
        <w:spacing w:after="0" w:line="240" w:lineRule="auto"/>
      </w:pPr>
      <w:r>
        <w:rPr>
          <w:rFonts w:ascii="Arial" w:hAnsi="Arial" w:eastAsia="Arial" w:cs="Arial"/>
          <w:sz w:val="20"/>
          <w:szCs w:val="20"/>
        </w:rPr>
        <w:separator/>
      </w:r>
    </w:p>
  </w:endnote>
  <w:endnote w:type="continuationSeparator" w:id="0">
    <w:p w14:paraId="386D6CAD" w14:textId="77777777" w:rsidR="00B31F24" w:rsidRDefault="00B31F24">
      <w:pPr>
        <w:spacing w:after="0" w:line="240" w:lineRule="auto"/>
      </w:pPr>
      <w:r>
        <w:rPr>
          <w:rFonts w:ascii="Arial" w:hAnsi="Arial" w:eastAsia="Arial" w:cs="Arial"/>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5D52EE" w14:textId="77777777" w:rsidR="00C65B51" w:rsidRDefault="00000000">
    <w:pPr>
      <w:jc w:val="center"/>
    </w:pPr>
    <w:r>
      <w:rPr>
        <w:sz w:val="20"/>
        <w:rFonts w:ascii="Arial" w:hAnsi="Arial" w:eastAsia="Arial" w:cs="Arial"/>
        <w:szCs w:val="20"/>
      </w:rPr>
      <w:t>Oranjemund College | Qualification structure</w:t>
    </w:r>
  </w:p>
  <w:p w14:paraId="174331D4" w14:textId="77777777" w:rsidR="00C65B51" w:rsidRDefault="00000000">
    <w:pPr>
      <w:pStyle w:val="Footer"/>
      <w:jc w:val="center"/>
    </w:pPr>
    <w:r>
      <w:rPr>
        <w:rFonts w:ascii="Arial" w:hAnsi="Arial" w:eastAsia="Arial" w:cs="Arial"/>
        <w:sz w:val="20"/>
        <w:szCs w:val="20"/>
      </w:rPr>
    </w:r>
    <w:r>
      <w:rPr>
        <w:rFonts w:ascii="Arial" w:hAnsi="Arial" w:eastAsia="Arial" w:cs="Arial"/>
        <w:sz w:val="20"/>
        <w:szCs w:val="20"/>
      </w:rPr>
    </w:r>
    <w:r>
      <w:rPr>
        <w:rFonts w:ascii="Arial" w:hAnsi="Arial" w:eastAsia="Arial" w:cs="Arial"/>
        <w:sz w:val="20"/>
        <w:szCs w:val="20"/>
      </w:rPr>
    </w:r>
    <w:fldSimple w:instr="PAGE">
      <w:r w:rsidR="008F64FC">
        <w:rPr>
          <w:noProof/>
          <w:rFonts w:ascii="Arial" w:hAnsi="Arial" w:eastAsia="Arial" w:cs="Arial"/>
          <w:sz w:val="20"/>
          <w:szCs w:val="20"/>
        </w:rPr>
        <w:t>1</w:t>
      </w:r>
    </w:fldSimple>
    <w:r>
      <w:rPr>
        <w:rFonts w:ascii="Arial" w:hAnsi="Arial" w:eastAsia="Arial" w:cs="Arial"/>
        <w:sz w:val="20"/>
        <w:szCs w:val="20"/>
      </w:r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A55A5D" w14:textId="77777777" w:rsidR="00B31F24" w:rsidRDefault="00B31F24">
      <w:pPr>
        <w:spacing w:after="0" w:line="240" w:lineRule="auto"/>
      </w:pPr>
      <w:r>
        <w:rPr>
          <w:rFonts w:ascii="Arial" w:hAnsi="Arial" w:eastAsia="Arial" w:cs="Arial"/>
          <w:sz w:val="20"/>
          <w:szCs w:val="20"/>
        </w:rPr>
        <w:separator/>
      </w:r>
    </w:p>
  </w:footnote>
  <w:footnote w:type="continuationSeparator" w:id="0">
    <w:p w14:paraId="7AD2630E" w14:textId="77777777" w:rsidR="00B31F24" w:rsidRDefault="00B31F24">
      <w:pPr>
        <w:spacing w:after="0" w:line="240" w:lineRule="auto"/>
      </w:pPr>
      <w:r>
        <w:rPr>
          <w:rFonts w:ascii="Arial" w:hAnsi="Arial" w:eastAsia="Arial" w:cs="Arial"/>
          <w:sz w:val="20"/>
          <w:szCs w:val="20"/>
        </w:rPr>
        <w:continuationSeparator/>
      </w:r>
    </w:p>
  </w:footnote>
  <w:footnote w:id="1">
    <w:p w14:paraId="6FC62178"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broad classification of learning under the NQF, identifying the primary discipline area in which the qualification is placed.</w:t>
      </w:r>
    </w:p>
  </w:footnote>
  <w:footnote w:id="2">
    <w:p w14:paraId="3481F3F7"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Represents the unique institutional identifier assigned to the qualification for academic, administrative, and reporting purposes.</w:t>
      </w:r>
    </w:p>
  </w:footnote>
  <w:footnote w:id="3">
    <w:p w14:paraId="7879277D"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Specifies the qualification’s position within the Namibia Qualifications Framework and reflects the complexity, knowledge depth, and skills expected at that level.</w:t>
      </w:r>
    </w:p>
  </w:footnote>
  <w:footnote w:id="4">
    <w:p w14:paraId="5AECE1AA"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Refers to the full volume of credits allocated across all modules that make up the qualification, based on the NQF requirement that one credit equates to ten notional hours of learning.</w:t>
      </w:r>
    </w:p>
  </w:footnote>
  <w:footnote w:id="5">
    <w:p w14:paraId="4C9A2F51"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minimum number of credits a learner must successfully attain to be awarded the qualification.</w:t>
      </w:r>
    </w:p>
  </w:footnote>
  <w:footnote w:id="6">
    <w:p w14:paraId="092FC64B" w14:textId="77777777" w:rsidR="00885E26" w:rsidRPr="005A3FFB" w:rsidRDefault="00885E26" w:rsidP="00885E26">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The qualification structure outlines the organised arrangement of all modules that make up the qualification, indicating their codes, titles, NQF levels, and associated credits. It specifies the compulsory components a learner must complete to attain the qualification and reflects the prescribed distribution of learning in line with NQF credit and level requirements.</w:t>
      </w:r>
    </w:p>
  </w:footnote>
  <w:footnote w:id="7">
    <w:p w14:paraId="0B9A5C3F" w14:textId="77777777" w:rsidR="0082754C" w:rsidRPr="005A3FFB" w:rsidRDefault="0082754C" w:rsidP="0082754C">
      <w:pPr>
        <w:pStyle w:val="FootnoteText"/>
        <w:spacing w:line="240" w:lineRule="auto"/>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This framework defines the structured allocation of learning hours per credit across contact teaching, directed learning, and independent study, ensuring consistency, transparency, and compliance with NQF credit guidelines.</w:t>
      </w:r>
    </w:p>
  </w:footnote>
  <w:footnote w:id="8">
    <w:p w14:paraId="257DDE72"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stage of study within the qualification in which the module is delivered.</w:t>
      </w:r>
    </w:p>
  </w:footnote>
  <w:footnote w:id="9">
    <w:p w14:paraId="68CB9002"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Specifies the academic semester during which the module is offered.</w:t>
      </w:r>
    </w:p>
  </w:footnote>
  <w:footnote w:id="10">
    <w:p w14:paraId="64607956"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State the measurable abilities a learner must achieve upon completing the module, aligned with the NQF Level and expressed using active verbs.</w:t>
      </w:r>
    </w:p>
  </w:footnote>
  <w:footnote w:id="11">
    <w:p w14:paraId="641BC590"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 xml:space="preserve">Indicates the overarching field of learning under which the module is classified, as defined in the NQF Classification System. Namibia has 12 broad fields of learning. </w:t>
      </w:r>
    </w:p>
  </w:footnote>
  <w:footnote w:id="12">
    <w:p w14:paraId="1876FFAE"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Denotes the specific sub-category of learning within the broad field, ensuring accurate placement of the module in the NQF Classification System.</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Arial" w:hAnsi="Arial" w:eastAsia="Arial" w:cs="Arial"/>
        <w:sz w:val="20"/>
        <w:szCs w:val="20"/>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Arial" w:hAnsi="Arial" w:eastAsia="Arial" w:cs="Arial"/>
        <w:sz w:val="20"/>
        <w:szCs w:val="20"/>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Arial" w:hAnsi="Arial" w:eastAsia="Arial" w:cs="Arial"/>
        <w:sz w:val="20"/>
        <w:szCs w:val="20"/>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Arial" w:hAnsi="Arial" w:eastAsia="Arial" w:cs="Arial"/>
        <w:sz w:val="20"/>
        <w:szCs w:val="20"/>
      </w:rPr>
    </w:lvl>
  </w:abstractNum>
  <w:abstractNum w:abstractNumId="9" w15:restartNumberingAfterBreak="0">
    <w:nsid w:val="01652FE9"/>
    <w:multiLevelType w:val="hybridMultilevel"/>
    <w:tmpl w:val="87B80410"/>
    <w:lvl w:ilvl="0" w:tplc="08090001">
      <w:start w:val="1"/>
      <w:numFmt w:val="bullet"/>
      <w:lvlText w:val=""/>
      <w:lvlJc w:val="left"/>
      <w:pPr>
        <w:ind w:left="754" w:hanging="360"/>
      </w:pPr>
      <w:rPr>
        <w:rFonts w:ascii="Arial" w:hAnsi="Arial" w:eastAsia="Arial" w:cs="Arial"/>
        <w:sz w:val="20"/>
        <w:szCs w:val="20"/>
      </w:rPr>
    </w:lvl>
    <w:lvl w:ilvl="1" w:tplc="08090003" w:tentative="1">
      <w:start w:val="1"/>
      <w:numFmt w:val="bullet"/>
      <w:lvlText w:val="o"/>
      <w:lvlJc w:val="left"/>
      <w:pPr>
        <w:ind w:left="1474" w:hanging="360"/>
      </w:pPr>
      <w:rPr>
        <w:rFonts w:ascii="Arial" w:hAnsi="Arial" w:eastAsia="Arial" w:cs="Arial"/>
        <w:sz w:val="20"/>
        <w:szCs w:val="20"/>
      </w:rPr>
    </w:lvl>
    <w:lvl w:ilvl="2" w:tplc="08090005" w:tentative="1">
      <w:start w:val="1"/>
      <w:numFmt w:val="bullet"/>
      <w:lvlText w:val=""/>
      <w:lvlJc w:val="left"/>
      <w:pPr>
        <w:ind w:left="2194" w:hanging="360"/>
      </w:pPr>
      <w:rPr>
        <w:rFonts w:ascii="Arial" w:hAnsi="Arial" w:eastAsia="Arial" w:cs="Arial"/>
        <w:sz w:val="20"/>
        <w:szCs w:val="20"/>
      </w:rPr>
    </w:lvl>
    <w:lvl w:ilvl="3" w:tplc="08090001" w:tentative="1">
      <w:start w:val="1"/>
      <w:numFmt w:val="bullet"/>
      <w:lvlText w:val=""/>
      <w:lvlJc w:val="left"/>
      <w:pPr>
        <w:ind w:left="2914" w:hanging="360"/>
      </w:pPr>
      <w:rPr>
        <w:rFonts w:ascii="Arial" w:hAnsi="Arial" w:eastAsia="Arial" w:cs="Arial"/>
        <w:sz w:val="20"/>
        <w:szCs w:val="20"/>
      </w:rPr>
    </w:lvl>
    <w:lvl w:ilvl="4" w:tplc="08090003" w:tentative="1">
      <w:start w:val="1"/>
      <w:numFmt w:val="bullet"/>
      <w:lvlText w:val="o"/>
      <w:lvlJc w:val="left"/>
      <w:pPr>
        <w:ind w:left="3634" w:hanging="360"/>
      </w:pPr>
      <w:rPr>
        <w:rFonts w:ascii="Arial" w:hAnsi="Arial" w:eastAsia="Arial" w:cs="Arial"/>
        <w:sz w:val="20"/>
        <w:szCs w:val="20"/>
      </w:rPr>
    </w:lvl>
    <w:lvl w:ilvl="5" w:tplc="08090005" w:tentative="1">
      <w:start w:val="1"/>
      <w:numFmt w:val="bullet"/>
      <w:lvlText w:val=""/>
      <w:lvlJc w:val="left"/>
      <w:pPr>
        <w:ind w:left="4354" w:hanging="360"/>
      </w:pPr>
      <w:rPr>
        <w:rFonts w:ascii="Arial" w:hAnsi="Arial" w:eastAsia="Arial" w:cs="Arial"/>
        <w:sz w:val="20"/>
        <w:szCs w:val="20"/>
      </w:rPr>
    </w:lvl>
    <w:lvl w:ilvl="6" w:tplc="08090001" w:tentative="1">
      <w:start w:val="1"/>
      <w:numFmt w:val="bullet"/>
      <w:lvlText w:val=""/>
      <w:lvlJc w:val="left"/>
      <w:pPr>
        <w:ind w:left="5074" w:hanging="360"/>
      </w:pPr>
      <w:rPr>
        <w:rFonts w:ascii="Arial" w:hAnsi="Arial" w:eastAsia="Arial" w:cs="Arial"/>
        <w:sz w:val="20"/>
        <w:szCs w:val="20"/>
      </w:rPr>
    </w:lvl>
    <w:lvl w:ilvl="7" w:tplc="08090003" w:tentative="1">
      <w:start w:val="1"/>
      <w:numFmt w:val="bullet"/>
      <w:lvlText w:val="o"/>
      <w:lvlJc w:val="left"/>
      <w:pPr>
        <w:ind w:left="5794" w:hanging="360"/>
      </w:pPr>
      <w:rPr>
        <w:rFonts w:ascii="Arial" w:hAnsi="Arial" w:eastAsia="Arial" w:cs="Arial"/>
        <w:sz w:val="20"/>
        <w:szCs w:val="20"/>
      </w:rPr>
    </w:lvl>
    <w:lvl w:ilvl="8" w:tplc="08090005" w:tentative="1">
      <w:start w:val="1"/>
      <w:numFmt w:val="bullet"/>
      <w:lvlText w:val=""/>
      <w:lvlJc w:val="left"/>
      <w:pPr>
        <w:ind w:left="6514" w:hanging="360"/>
      </w:pPr>
      <w:rPr>
        <w:rFonts w:ascii="Arial" w:hAnsi="Arial" w:eastAsia="Arial" w:cs="Arial"/>
        <w:sz w:val="20"/>
        <w:szCs w:val="20"/>
      </w:rPr>
    </w:lvl>
  </w:abstractNum>
  <w:abstractNum w:abstractNumId="10" w15:restartNumberingAfterBreak="0">
    <w:nsid w:val="048F160C"/>
    <w:multiLevelType w:val="hybridMultilevel"/>
    <w:tmpl w:val="25220372"/>
    <w:lvl w:ilvl="0" w:tplc="3FDADC84">
      <w:start w:val="1"/>
      <w:numFmt w:val="decimal"/>
      <w:lvlText w:val="%1."/>
      <w:lvlJc w:val="left"/>
      <w:pPr>
        <w:ind w:left="57" w:firstLine="0"/>
      </w:pPr>
      <w:rPr>
        <w:rFonts w:ascii="Arial" w:hAnsi="Arial" w:eastAsia="Arial" w:cs="Arial"/>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96930CD"/>
    <w:multiLevelType w:val="multilevel"/>
    <w:tmpl w:val="379E2CDE"/>
    <w:lvl w:ilvl="0">
      <w:start w:val="1"/>
      <w:numFmt w:val="decimal"/>
      <w:lvlText w:val="%1."/>
      <w:lvlJc w:val="left"/>
      <w:pPr>
        <w:ind w:left="720" w:hanging="646"/>
      </w:pPr>
      <w:rPr>
        <w:rFonts w:ascii="Arial" w:hAnsi="Arial" w:eastAsia="Arial" w:cs="Ari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945C33"/>
    <w:multiLevelType w:val="multilevel"/>
    <w:tmpl w:val="281C173E"/>
    <w:lvl w:ilvl="0">
      <w:start w:val="1"/>
      <w:numFmt w:val="bullet"/>
      <w:lvlText w:val=""/>
      <w:lvlJc w:val="left"/>
      <w:pPr>
        <w:tabs>
          <w:tab w:val="num" w:pos="720"/>
        </w:tabs>
        <w:ind w:left="720" w:hanging="360"/>
      </w:pPr>
      <w:rPr>
        <w:rFonts w:ascii="Arial" w:hAnsi="Arial" w:eastAsia="Arial" w:cs="Arial"/>
        <w:sz w:val="20"/>
        <w:szCs w:val="20"/>
      </w:rPr>
    </w:lvl>
    <w:lvl w:ilvl="1" w:tentative="1">
      <w:start w:val="1"/>
      <w:numFmt w:val="bullet"/>
      <w:lvlText w:val="o"/>
      <w:lvlJc w:val="left"/>
      <w:pPr>
        <w:tabs>
          <w:tab w:val="num" w:pos="1440"/>
        </w:tabs>
        <w:ind w:left="1440" w:hanging="360"/>
      </w:pPr>
      <w:rPr>
        <w:rFonts w:ascii="Arial" w:hAnsi="Arial" w:eastAsia="Arial" w:cs="Arial"/>
        <w:sz w:val="20"/>
        <w:szCs w:val="20"/>
      </w:rPr>
    </w:lvl>
    <w:lvl w:ilvl="2" w:tentative="1">
      <w:start w:val="1"/>
      <w:numFmt w:val="bullet"/>
      <w:lvlText w:val=""/>
      <w:lvlJc w:val="left"/>
      <w:pPr>
        <w:tabs>
          <w:tab w:val="num" w:pos="2160"/>
        </w:tabs>
        <w:ind w:left="2160" w:hanging="360"/>
      </w:pPr>
      <w:rPr>
        <w:rFonts w:ascii="Arial" w:hAnsi="Arial" w:eastAsia="Arial" w:cs="Arial"/>
        <w:sz w:val="20"/>
        <w:szCs w:val="20"/>
      </w:rPr>
    </w:lvl>
    <w:lvl w:ilvl="3" w:tentative="1">
      <w:start w:val="1"/>
      <w:numFmt w:val="bullet"/>
      <w:lvlText w:val=""/>
      <w:lvlJc w:val="left"/>
      <w:pPr>
        <w:tabs>
          <w:tab w:val="num" w:pos="2880"/>
        </w:tabs>
        <w:ind w:left="2880" w:hanging="360"/>
      </w:pPr>
      <w:rPr>
        <w:rFonts w:ascii="Arial" w:hAnsi="Arial" w:eastAsia="Arial" w:cs="Arial"/>
        <w:sz w:val="20"/>
        <w:szCs w:val="20"/>
      </w:rPr>
    </w:lvl>
    <w:lvl w:ilvl="4" w:tentative="1">
      <w:start w:val="1"/>
      <w:numFmt w:val="bullet"/>
      <w:lvlText w:val=""/>
      <w:lvlJc w:val="left"/>
      <w:pPr>
        <w:tabs>
          <w:tab w:val="num" w:pos="3600"/>
        </w:tabs>
        <w:ind w:left="3600" w:hanging="360"/>
      </w:pPr>
      <w:rPr>
        <w:rFonts w:ascii="Arial" w:hAnsi="Arial" w:eastAsia="Arial" w:cs="Arial"/>
        <w:sz w:val="20"/>
        <w:szCs w:val="20"/>
      </w:rPr>
    </w:lvl>
    <w:lvl w:ilvl="5" w:tentative="1">
      <w:start w:val="1"/>
      <w:numFmt w:val="bullet"/>
      <w:lvlText w:val=""/>
      <w:lvlJc w:val="left"/>
      <w:pPr>
        <w:tabs>
          <w:tab w:val="num" w:pos="4320"/>
        </w:tabs>
        <w:ind w:left="4320" w:hanging="360"/>
      </w:pPr>
      <w:rPr>
        <w:rFonts w:ascii="Arial" w:hAnsi="Arial" w:eastAsia="Arial" w:cs="Arial"/>
        <w:sz w:val="20"/>
        <w:szCs w:val="20"/>
      </w:rPr>
    </w:lvl>
    <w:lvl w:ilvl="6" w:tentative="1">
      <w:start w:val="1"/>
      <w:numFmt w:val="bullet"/>
      <w:lvlText w:val=""/>
      <w:lvlJc w:val="left"/>
      <w:pPr>
        <w:tabs>
          <w:tab w:val="num" w:pos="5040"/>
        </w:tabs>
        <w:ind w:left="5040" w:hanging="360"/>
      </w:pPr>
      <w:rPr>
        <w:rFonts w:ascii="Arial" w:hAnsi="Arial" w:eastAsia="Arial" w:cs="Arial"/>
        <w:sz w:val="20"/>
        <w:szCs w:val="20"/>
      </w:rPr>
    </w:lvl>
    <w:lvl w:ilvl="7" w:tentative="1">
      <w:start w:val="1"/>
      <w:numFmt w:val="bullet"/>
      <w:lvlText w:val=""/>
      <w:lvlJc w:val="left"/>
      <w:pPr>
        <w:tabs>
          <w:tab w:val="num" w:pos="5760"/>
        </w:tabs>
        <w:ind w:left="5760" w:hanging="360"/>
      </w:pPr>
      <w:rPr>
        <w:rFonts w:ascii="Arial" w:hAnsi="Arial" w:eastAsia="Arial" w:cs="Arial"/>
        <w:sz w:val="20"/>
        <w:szCs w:val="20"/>
      </w:rPr>
    </w:lvl>
    <w:lvl w:ilvl="8" w:tentative="1">
      <w:start w:val="1"/>
      <w:numFmt w:val="bullet"/>
      <w:lvlText w:val=""/>
      <w:lvlJc w:val="left"/>
      <w:pPr>
        <w:tabs>
          <w:tab w:val="num" w:pos="6480"/>
        </w:tabs>
        <w:ind w:left="6480" w:hanging="360"/>
      </w:pPr>
      <w:rPr>
        <w:rFonts w:ascii="Arial" w:hAnsi="Arial" w:eastAsia="Arial" w:cs="Arial"/>
        <w:sz w:val="20"/>
        <w:szCs w:val="20"/>
      </w:rPr>
    </w:lvl>
  </w:abstractNum>
  <w:abstractNum w:abstractNumId="13" w15:restartNumberingAfterBreak="0">
    <w:nsid w:val="280F06E9"/>
    <w:multiLevelType w:val="multilevel"/>
    <w:tmpl w:val="281C173E"/>
    <w:lvl w:ilvl="0">
      <w:start w:val="1"/>
      <w:numFmt w:val="bullet"/>
      <w:lvlText w:val=""/>
      <w:lvlJc w:val="left"/>
      <w:pPr>
        <w:tabs>
          <w:tab w:val="num" w:pos="720"/>
        </w:tabs>
        <w:ind w:left="720" w:hanging="360"/>
      </w:pPr>
      <w:rPr>
        <w:rFonts w:ascii="Arial" w:hAnsi="Arial" w:eastAsia="Arial" w:cs="Arial"/>
        <w:sz w:val="20"/>
        <w:szCs w:val="20"/>
      </w:rPr>
    </w:lvl>
    <w:lvl w:ilvl="1" w:tentative="1">
      <w:start w:val="1"/>
      <w:numFmt w:val="bullet"/>
      <w:lvlText w:val="o"/>
      <w:lvlJc w:val="left"/>
      <w:pPr>
        <w:tabs>
          <w:tab w:val="num" w:pos="1440"/>
        </w:tabs>
        <w:ind w:left="1440" w:hanging="360"/>
      </w:pPr>
      <w:rPr>
        <w:rFonts w:ascii="Arial" w:hAnsi="Arial" w:eastAsia="Arial" w:cs="Arial"/>
        <w:sz w:val="20"/>
        <w:szCs w:val="20"/>
      </w:rPr>
    </w:lvl>
    <w:lvl w:ilvl="2" w:tentative="1">
      <w:start w:val="1"/>
      <w:numFmt w:val="bullet"/>
      <w:lvlText w:val=""/>
      <w:lvlJc w:val="left"/>
      <w:pPr>
        <w:tabs>
          <w:tab w:val="num" w:pos="2160"/>
        </w:tabs>
        <w:ind w:left="2160" w:hanging="360"/>
      </w:pPr>
      <w:rPr>
        <w:rFonts w:ascii="Arial" w:hAnsi="Arial" w:eastAsia="Arial" w:cs="Arial"/>
        <w:sz w:val="20"/>
        <w:szCs w:val="20"/>
      </w:rPr>
    </w:lvl>
    <w:lvl w:ilvl="3" w:tentative="1">
      <w:start w:val="1"/>
      <w:numFmt w:val="bullet"/>
      <w:lvlText w:val=""/>
      <w:lvlJc w:val="left"/>
      <w:pPr>
        <w:tabs>
          <w:tab w:val="num" w:pos="2880"/>
        </w:tabs>
        <w:ind w:left="2880" w:hanging="360"/>
      </w:pPr>
      <w:rPr>
        <w:rFonts w:ascii="Arial" w:hAnsi="Arial" w:eastAsia="Arial" w:cs="Arial"/>
        <w:sz w:val="20"/>
        <w:szCs w:val="20"/>
      </w:rPr>
    </w:lvl>
    <w:lvl w:ilvl="4" w:tentative="1">
      <w:start w:val="1"/>
      <w:numFmt w:val="bullet"/>
      <w:lvlText w:val=""/>
      <w:lvlJc w:val="left"/>
      <w:pPr>
        <w:tabs>
          <w:tab w:val="num" w:pos="3600"/>
        </w:tabs>
        <w:ind w:left="3600" w:hanging="360"/>
      </w:pPr>
      <w:rPr>
        <w:rFonts w:ascii="Arial" w:hAnsi="Arial" w:eastAsia="Arial" w:cs="Arial"/>
        <w:sz w:val="20"/>
        <w:szCs w:val="20"/>
      </w:rPr>
    </w:lvl>
    <w:lvl w:ilvl="5" w:tentative="1">
      <w:start w:val="1"/>
      <w:numFmt w:val="bullet"/>
      <w:lvlText w:val=""/>
      <w:lvlJc w:val="left"/>
      <w:pPr>
        <w:tabs>
          <w:tab w:val="num" w:pos="4320"/>
        </w:tabs>
        <w:ind w:left="4320" w:hanging="360"/>
      </w:pPr>
      <w:rPr>
        <w:rFonts w:ascii="Arial" w:hAnsi="Arial" w:eastAsia="Arial" w:cs="Arial"/>
        <w:sz w:val="20"/>
        <w:szCs w:val="20"/>
      </w:rPr>
    </w:lvl>
    <w:lvl w:ilvl="6" w:tentative="1">
      <w:start w:val="1"/>
      <w:numFmt w:val="bullet"/>
      <w:lvlText w:val=""/>
      <w:lvlJc w:val="left"/>
      <w:pPr>
        <w:tabs>
          <w:tab w:val="num" w:pos="5040"/>
        </w:tabs>
        <w:ind w:left="5040" w:hanging="360"/>
      </w:pPr>
      <w:rPr>
        <w:rFonts w:ascii="Arial" w:hAnsi="Arial" w:eastAsia="Arial" w:cs="Arial"/>
        <w:sz w:val="20"/>
        <w:szCs w:val="20"/>
      </w:rPr>
    </w:lvl>
    <w:lvl w:ilvl="7" w:tentative="1">
      <w:start w:val="1"/>
      <w:numFmt w:val="bullet"/>
      <w:lvlText w:val=""/>
      <w:lvlJc w:val="left"/>
      <w:pPr>
        <w:tabs>
          <w:tab w:val="num" w:pos="5760"/>
        </w:tabs>
        <w:ind w:left="5760" w:hanging="360"/>
      </w:pPr>
      <w:rPr>
        <w:rFonts w:ascii="Arial" w:hAnsi="Arial" w:eastAsia="Arial" w:cs="Arial"/>
        <w:sz w:val="20"/>
        <w:szCs w:val="20"/>
      </w:rPr>
    </w:lvl>
    <w:lvl w:ilvl="8" w:tentative="1">
      <w:start w:val="1"/>
      <w:numFmt w:val="bullet"/>
      <w:lvlText w:val=""/>
      <w:lvlJc w:val="left"/>
      <w:pPr>
        <w:tabs>
          <w:tab w:val="num" w:pos="6480"/>
        </w:tabs>
        <w:ind w:left="6480" w:hanging="360"/>
      </w:pPr>
      <w:rPr>
        <w:rFonts w:ascii="Arial" w:hAnsi="Arial" w:eastAsia="Arial" w:cs="Arial"/>
        <w:sz w:val="20"/>
        <w:szCs w:val="20"/>
      </w:rPr>
    </w:lvl>
  </w:abstractNum>
  <w:abstractNum w:abstractNumId="14" w15:restartNumberingAfterBreak="0">
    <w:nsid w:val="356A6F86"/>
    <w:multiLevelType w:val="hybridMultilevel"/>
    <w:tmpl w:val="E71E10CC"/>
    <w:lvl w:ilvl="0" w:tplc="FC7E37D8">
      <w:start w:val="1"/>
      <w:numFmt w:val="decimal"/>
      <w:lvlText w:val="%1."/>
      <w:lvlJc w:val="left"/>
      <w:pPr>
        <w:ind w:left="153" w:hanging="79"/>
      </w:pPr>
      <w:rPr>
        <w:rFonts w:ascii="Arial" w:hAnsi="Arial" w:eastAsia="Arial" w:cs="Arial"/>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5B7872"/>
    <w:multiLevelType w:val="hybridMultilevel"/>
    <w:tmpl w:val="E07A5780"/>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6" w15:restartNumberingAfterBreak="0">
    <w:nsid w:val="3B921EBB"/>
    <w:multiLevelType w:val="hybridMultilevel"/>
    <w:tmpl w:val="328C9506"/>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7" w15:restartNumberingAfterBreak="0">
    <w:nsid w:val="4E7637AC"/>
    <w:multiLevelType w:val="multilevel"/>
    <w:tmpl w:val="379E2CDE"/>
    <w:lvl w:ilvl="0">
      <w:start w:val="1"/>
      <w:numFmt w:val="decimal"/>
      <w:lvlText w:val="%1."/>
      <w:lvlJc w:val="left"/>
      <w:pPr>
        <w:ind w:left="720" w:hanging="646"/>
      </w:pPr>
      <w:rPr>
        <w:rFonts w:ascii="Arial" w:hAnsi="Arial" w:eastAsia="Arial" w:cs="Ari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4BA3E23"/>
    <w:multiLevelType w:val="hybridMultilevel"/>
    <w:tmpl w:val="2228CEB6"/>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9" w15:restartNumberingAfterBreak="0">
    <w:nsid w:val="5C5B4C04"/>
    <w:multiLevelType w:val="hybridMultilevel"/>
    <w:tmpl w:val="F396605E"/>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20" w15:restartNumberingAfterBreak="0">
    <w:nsid w:val="5D5A0A47"/>
    <w:multiLevelType w:val="hybridMultilevel"/>
    <w:tmpl w:val="47BA1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9154593">
    <w:abstractNumId w:val="8"/>
  </w:num>
  <w:num w:numId="2" w16cid:durableId="514196822">
    <w:abstractNumId w:val="6"/>
  </w:num>
  <w:num w:numId="3" w16cid:durableId="585722606">
    <w:abstractNumId w:val="5"/>
  </w:num>
  <w:num w:numId="4" w16cid:durableId="1316297286">
    <w:abstractNumId w:val="4"/>
  </w:num>
  <w:num w:numId="5" w16cid:durableId="70467570">
    <w:abstractNumId w:val="7"/>
  </w:num>
  <w:num w:numId="6" w16cid:durableId="1280601992">
    <w:abstractNumId w:val="3"/>
  </w:num>
  <w:num w:numId="7" w16cid:durableId="198469434">
    <w:abstractNumId w:val="2"/>
  </w:num>
  <w:num w:numId="8" w16cid:durableId="635068732">
    <w:abstractNumId w:val="1"/>
  </w:num>
  <w:num w:numId="9" w16cid:durableId="53358993">
    <w:abstractNumId w:val="0"/>
  </w:num>
  <w:num w:numId="10" w16cid:durableId="48576207">
    <w:abstractNumId w:val="20"/>
  </w:num>
  <w:num w:numId="11" w16cid:durableId="776099713">
    <w:abstractNumId w:val="12"/>
  </w:num>
  <w:num w:numId="12" w16cid:durableId="409624786">
    <w:abstractNumId w:val="13"/>
  </w:num>
  <w:num w:numId="13" w16cid:durableId="978264250">
    <w:abstractNumId w:val="14"/>
  </w:num>
  <w:num w:numId="14" w16cid:durableId="1306007237">
    <w:abstractNumId w:val="17"/>
  </w:num>
  <w:num w:numId="15" w16cid:durableId="1821650077">
    <w:abstractNumId w:val="16"/>
  </w:num>
  <w:num w:numId="16" w16cid:durableId="922836351">
    <w:abstractNumId w:val="10"/>
  </w:num>
  <w:num w:numId="17" w16cid:durableId="988632940">
    <w:abstractNumId w:val="18"/>
  </w:num>
  <w:num w:numId="18" w16cid:durableId="785008537">
    <w:abstractNumId w:val="9"/>
  </w:num>
  <w:num w:numId="19" w16cid:durableId="1844469305">
    <w:abstractNumId w:val="11"/>
  </w:num>
  <w:num w:numId="20" w16cid:durableId="1828594134">
    <w:abstractNumId w:val="15"/>
  </w:num>
  <w:num w:numId="21" w16cid:durableId="1430158343">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1C17"/>
    <w:rsid w:val="0015074B"/>
    <w:rsid w:val="0020464B"/>
    <w:rsid w:val="002601F3"/>
    <w:rsid w:val="00274B8B"/>
    <w:rsid w:val="0029639D"/>
    <w:rsid w:val="00326F90"/>
    <w:rsid w:val="00373D14"/>
    <w:rsid w:val="00374014"/>
    <w:rsid w:val="00484777"/>
    <w:rsid w:val="00552855"/>
    <w:rsid w:val="00594976"/>
    <w:rsid w:val="006B60C5"/>
    <w:rsid w:val="006F54F2"/>
    <w:rsid w:val="00705FB2"/>
    <w:rsid w:val="0082754C"/>
    <w:rsid w:val="00860303"/>
    <w:rsid w:val="00885E26"/>
    <w:rsid w:val="008B6C93"/>
    <w:rsid w:val="008F64FC"/>
    <w:rsid w:val="00932CEC"/>
    <w:rsid w:val="009D0658"/>
    <w:rsid w:val="00AA1D8D"/>
    <w:rsid w:val="00B31F24"/>
    <w:rsid w:val="00B47730"/>
    <w:rsid w:val="00BA2940"/>
    <w:rsid w:val="00C21F76"/>
    <w:rsid w:val="00C65B51"/>
    <w:rsid w:val="00CB0664"/>
    <w:rsid w:val="00DF45C1"/>
    <w:rsid w:val="00FC693F"/>
    <w:rsid w:val="00FF09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20C0C"/>
  <w14:defaultImageDpi w14:val="300"/>
  <w15:docId w15:val="{19112497-0207-0540-8254-ECD939F7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hAnsi="Arial" w:eastAsia="Arial" w:cs="Arial"/>
        <w:sz w:val="20"/>
        <w:szCs w:val="20"/>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hAnsi="Arial" w:eastAsia="Arial" w:cs="Arial"/>
      <w:color w:val="000000"/>
      <w:lang w:val="en-GB"/>
      <w:sz w:val="20"/>
      <w:szCs w:val="20"/>
    </w:rPr>
  </w:style>
  <w:style w:type="paragraph" w:styleId="Heading1">
    <w:name w:val="heading 1"/>
    <w:basedOn w:val="Normal"/>
    <w:next w:val="Normal"/>
    <w:link w:val="Heading1Char"/>
    <w:uiPriority w:val="9"/>
    <w:qFormat/>
    <w:rsid w:val="00FC693F"/>
    <w:pPr>
      <w:keepNext/>
      <w:keepLines/>
      <w:spacing w:before="200"/>
      <w:outlineLvl w:val="0"/>
    </w:pPr>
    <w:rPr>
      <w:rFonts w:ascii="Arial" w:hAnsi="Arial" w:eastAsia="Arial" w:cs="Arial"/>
      <w:b/>
      <w:bCs/>
      <w:sz w:val="20"/>
      <w:szCs w:val="20"/>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Arial" w:hAnsi="Arial" w:eastAsia="Arial" w:cs="Arial"/>
      <w:b/>
      <w:bCs/>
      <w:sz w:val="20"/>
      <w:szCs w:val="20"/>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Arial" w:hAnsi="Arial" w:eastAsia="Arial" w:cs="Arial"/>
      <w:b/>
      <w:bCs/>
      <w:sz w:val="20"/>
      <w:szCs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sz w:val="20"/>
      <w:szCs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sz w:val="20"/>
      <w:szCs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sz w:val="20"/>
      <w:szCs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sz w:val="20"/>
      <w:szCs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rPr>
      <w:rFonts w:ascii="Arial" w:hAnsi="Arial" w:eastAsia="Arial" w:cs="Arial"/>
      <w:sz w:val="20"/>
      <w:szCs w:val="20"/>
    </w:rPr>
    <w:name w:val="Default Paragraph Font"/>
    <w:uiPriority w:val="1"/>
    <w:semiHidden/>
    <w:unhideWhenUsed/>
  </w:style>
  <w:style w:type="table" w:default="1" w:styleId="TableNormal">
    <w:rPr>
      <w:rFonts w:ascii="Arial" w:hAnsi="Arial" w:eastAsia="Arial" w:cs="Arial"/>
      <w:sz w:val="20"/>
      <w:szCs w:val="20"/>
    </w:rPr>
    <w:name w:val="Normal Table"/>
    <w:uiPriority w:val="99"/>
    <w:semiHidden/>
    <w:unhideWhenUsed/>
    <w:tblPr>
      <w:tblInd w:w="0" w:type="dxa"/>
      <w:tblCellMar>
        <w:top w:w="0" w:type="dxa"/>
        <w:left w:w="108" w:type="dxa"/>
        <w:bottom w:w="0" w:type="dxa"/>
        <w:right w:w="108" w:type="dxa"/>
      </w:tblCellMar>
    </w:tblPr>
  </w:style>
  <w:style w:type="numbering" w:default="1" w:styleId="NoList">
    <w:rPr>
      <w:rFonts w:ascii="Arial" w:hAnsi="Arial" w:eastAsia="Arial" w:cs="Arial"/>
      <w:sz w:val="20"/>
      <w:szCs w:val="20"/>
    </w:rPr>
    <w:name w:val="No List"/>
    <w:uiPriority w:val="99"/>
    <w:semiHidden/>
    <w:unhideWhenUsed/>
  </w:style>
  <w:style w:type="paragraph" w:styleId="Header">
    <w:rPr>
      <w:rFonts w:ascii="Arial" w:hAnsi="Arial" w:eastAsia="Arial" w:cs="Arial"/>
      <w:sz w:val="20"/>
      <w:szCs w:val="20"/>
    </w:rP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rPr>
      <w:rFonts w:ascii="Arial" w:hAnsi="Arial" w:eastAsia="Arial" w:cs="Arial"/>
      <w:sz w:val="20"/>
      <w:szCs w:val="20"/>
    </w:rPr>
    <w:name w:val="Header Char"/>
    <w:basedOn w:val="DefaultParagraphFont"/>
    <w:link w:val="Header"/>
    <w:uiPriority w:val="99"/>
    <w:rsid w:val="00E618BF"/>
  </w:style>
  <w:style w:type="paragraph" w:styleId="Footer">
    <w:rPr>
      <w:rFonts w:ascii="Arial" w:hAnsi="Arial" w:eastAsia="Arial" w:cs="Arial"/>
      <w:sz w:val="20"/>
      <w:szCs w:val="20"/>
    </w:rP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rPr>
      <w:rFonts w:ascii="Arial" w:hAnsi="Arial" w:eastAsia="Arial" w:cs="Arial"/>
      <w:sz w:val="20"/>
      <w:szCs w:val="20"/>
    </w:rPr>
    <w:name w:val="Footer Char"/>
    <w:basedOn w:val="DefaultParagraphFont"/>
    <w:link w:val="Footer"/>
    <w:uiPriority w:val="99"/>
    <w:rsid w:val="00E618BF"/>
  </w:style>
  <w:style w:type="paragraph" w:styleId="NoSpacing">
    <w:rPr>
      <w:rFonts w:ascii="Arial" w:hAnsi="Arial" w:eastAsia="Arial" w:cs="Arial"/>
      <w:sz w:val="20"/>
      <w:szCs w:val="20"/>
    </w:rPr>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0"/>
      <w:szCs w:val="20"/>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0"/>
      <w:szCs w:val="20"/>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sz w:val="20"/>
      <w:szCs w:val="20"/>
    </w:rPr>
  </w:style>
  <w:style w:type="paragraph" w:styleId="Title">
    <w:name w:val="Title"/>
    <w:basedOn w:val="Normal"/>
    <w:next w:val="Normal"/>
    <w:link w:val="TitleChar"/>
    <w:uiPriority w:val="10"/>
    <w:qFormat/>
    <w:rsid w:val="00FC693F"/>
    <w:pPr>
      <w:keepNext/>
      <w:spacing w:after="200" w:line="240" w:lineRule="auto"/>
      <w:contextualSpacing/>
    </w:pPr>
    <w:rPr>
      <w:rFonts w:ascii="Arial" w:hAnsi="Arial" w:eastAsia="Arial" w:cs="Arial"/>
      <w:b/>
      <w:spacing w:val="5"/>
      <w:kern w:val="28"/>
      <w:sz w:val="20"/>
      <w:szCs w:val="20"/>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20"/>
      <w:szCs w:val="20"/>
    </w:rPr>
  </w:style>
  <w:style w:type="paragraph" w:styleId="Subtitle">
    <w:name w:val="Subtitle"/>
    <w:basedOn w:val="Normal"/>
    <w:next w:val="Normal"/>
    <w:link w:val="SubtitleChar"/>
    <w:uiPriority w:val="11"/>
    <w:qFormat/>
    <w:rsid w:val="00FC693F"/>
    <w:pPr>
      <w:keepNext/>
      <w:numPr>
        <w:ilvl w:val="1"/>
      </w:numPr>
      <w:spacing w:after="160"/>
    </w:pPr>
    <w:rPr>
      <w:rFonts w:ascii="Arial" w:hAnsi="Arial" w:eastAsia="Arial" w:cs="Arial"/>
      <w:i/>
      <w:iCs/>
      <w:spacing w:val="15"/>
      <w:sz w:val="20"/>
      <w:szCs w:val="20"/>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0"/>
      <w:szCs w:val="20"/>
    </w:rPr>
  </w:style>
  <w:style w:type="paragraph" w:styleId="ListParagraph">
    <w:rPr>
      <w:rFonts w:ascii="Arial" w:hAnsi="Arial" w:eastAsia="Arial" w:cs="Arial"/>
      <w:sz w:val="20"/>
      <w:szCs w:val="20"/>
    </w:rPr>
    <w:name w:val="List Paragraph"/>
    <w:basedOn w:val="Normal"/>
    <w:uiPriority w:val="34"/>
    <w:qFormat/>
    <w:rsid w:val="00FC693F"/>
    <w:pPr>
      <w:ind w:left="720"/>
      <w:contextualSpacing/>
    </w:pPr>
  </w:style>
  <w:style w:type="paragraph" w:styleId="BodyText">
    <w:rPr>
      <w:rFonts w:ascii="Arial" w:hAnsi="Arial" w:eastAsia="Arial" w:cs="Arial"/>
      <w:sz w:val="20"/>
      <w:szCs w:val="20"/>
    </w:rPr>
    <w:name w:val="Body Text"/>
    <w:basedOn w:val="Normal"/>
    <w:link w:val="BodyTextChar"/>
    <w:uiPriority w:val="99"/>
    <w:unhideWhenUsed/>
    <w:rsid w:val="00AA1D8D"/>
  </w:style>
  <w:style w:type="character" w:customStyle="1" w:styleId="BodyTextChar">
    <w:rPr>
      <w:rFonts w:ascii="Arial" w:hAnsi="Arial" w:eastAsia="Arial" w:cs="Arial"/>
      <w:sz w:val="20"/>
      <w:szCs w:val="20"/>
    </w:rPr>
    <w:name w:val="Body Text Char"/>
    <w:basedOn w:val="DefaultParagraphFont"/>
    <w:link w:val="BodyText"/>
    <w:uiPriority w:val="99"/>
    <w:rsid w:val="00AA1D8D"/>
  </w:style>
  <w:style w:type="paragraph" w:styleId="BodyText2">
    <w:rPr>
      <w:rFonts w:ascii="Arial" w:hAnsi="Arial" w:eastAsia="Arial" w:cs="Arial"/>
      <w:sz w:val="20"/>
      <w:szCs w:val="20"/>
    </w:rPr>
    <w:name w:val="Body Text 2"/>
    <w:basedOn w:val="Normal"/>
    <w:link w:val="BodyText2Char"/>
    <w:uiPriority w:val="99"/>
    <w:unhideWhenUsed/>
    <w:rsid w:val="00AA1D8D"/>
    <w:pPr>
      <w:spacing w:line="480" w:lineRule="auto"/>
    </w:pPr>
  </w:style>
  <w:style w:type="character" w:customStyle="1" w:styleId="BodyText2Char">
    <w:rPr>
      <w:rFonts w:ascii="Arial" w:hAnsi="Arial" w:eastAsia="Arial" w:cs="Arial"/>
      <w:sz w:val="20"/>
      <w:szCs w:val="20"/>
    </w:rP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20"/>
      <w:szCs w:val="20"/>
      <w:rFonts w:ascii="Arial" w:hAnsi="Arial" w:eastAsia="Arial" w:cs="Arial"/>
    </w:rPr>
  </w:style>
  <w:style w:type="character" w:customStyle="1" w:styleId="BodyText3Char">
    <w:name w:val="Body Text 3 Char"/>
    <w:basedOn w:val="DefaultParagraphFont"/>
    <w:link w:val="BodyText3"/>
    <w:uiPriority w:val="99"/>
    <w:rsid w:val="00AA1D8D"/>
    <w:rPr>
      <w:sz w:val="20"/>
      <w:szCs w:val="20"/>
      <w:rFonts w:ascii="Arial" w:hAnsi="Arial" w:eastAsia="Arial" w:cs="Arial"/>
    </w:rPr>
  </w:style>
  <w:style w:type="paragraph" w:styleId="List">
    <w:rPr>
      <w:rFonts w:ascii="Arial" w:hAnsi="Arial" w:eastAsia="Arial" w:cs="Arial"/>
      <w:sz w:val="20"/>
      <w:szCs w:val="20"/>
    </w:rPr>
    <w:name w:val="List"/>
    <w:basedOn w:val="Normal"/>
    <w:uiPriority w:val="99"/>
    <w:unhideWhenUsed/>
    <w:rsid w:val="00AA1D8D"/>
    <w:pPr>
      <w:ind w:left="360" w:hanging="360"/>
      <w:contextualSpacing/>
    </w:pPr>
  </w:style>
  <w:style w:type="paragraph" w:styleId="List2">
    <w:rPr>
      <w:rFonts w:ascii="Arial" w:hAnsi="Arial" w:eastAsia="Arial" w:cs="Arial"/>
      <w:sz w:val="20"/>
      <w:szCs w:val="20"/>
    </w:rPr>
    <w:name w:val="List 2"/>
    <w:basedOn w:val="Normal"/>
    <w:uiPriority w:val="99"/>
    <w:unhideWhenUsed/>
    <w:rsid w:val="00326F90"/>
    <w:pPr>
      <w:ind w:left="720" w:hanging="360"/>
      <w:contextualSpacing/>
    </w:pPr>
  </w:style>
  <w:style w:type="paragraph" w:styleId="List3">
    <w:rPr>
      <w:rFonts w:ascii="Arial" w:hAnsi="Arial" w:eastAsia="Arial" w:cs="Arial"/>
      <w:sz w:val="20"/>
      <w:szCs w:val="20"/>
    </w:rPr>
    <w:name w:val="List 3"/>
    <w:basedOn w:val="Normal"/>
    <w:uiPriority w:val="99"/>
    <w:unhideWhenUsed/>
    <w:rsid w:val="00326F90"/>
    <w:pPr>
      <w:ind w:left="1080" w:hanging="360"/>
      <w:contextualSpacing/>
    </w:pPr>
  </w:style>
  <w:style w:type="paragraph" w:styleId="ListBullet">
    <w:rPr>
      <w:rFonts w:ascii="Arial" w:hAnsi="Arial" w:eastAsia="Arial" w:cs="Arial"/>
      <w:sz w:val="20"/>
      <w:szCs w:val="20"/>
    </w:rPr>
    <w:name w:val="List Bullet"/>
    <w:basedOn w:val="Normal"/>
    <w:uiPriority w:val="99"/>
    <w:unhideWhenUsed/>
    <w:rsid w:val="00326F90"/>
    <w:pPr>
      <w:numPr>
        <w:numId w:val="1"/>
      </w:numPr>
      <w:contextualSpacing/>
    </w:pPr>
  </w:style>
  <w:style w:type="paragraph" w:styleId="ListBullet2">
    <w:rPr>
      <w:rFonts w:ascii="Arial" w:hAnsi="Arial" w:eastAsia="Arial" w:cs="Arial"/>
      <w:sz w:val="20"/>
      <w:szCs w:val="20"/>
    </w:rPr>
    <w:name w:val="List Bullet 2"/>
    <w:basedOn w:val="Normal"/>
    <w:uiPriority w:val="99"/>
    <w:unhideWhenUsed/>
    <w:rsid w:val="00326F90"/>
    <w:pPr>
      <w:numPr>
        <w:numId w:val="2"/>
      </w:numPr>
      <w:contextualSpacing/>
    </w:pPr>
  </w:style>
  <w:style w:type="paragraph" w:styleId="ListBullet3">
    <w:rPr>
      <w:rFonts w:ascii="Arial" w:hAnsi="Arial" w:eastAsia="Arial" w:cs="Arial"/>
      <w:sz w:val="20"/>
      <w:szCs w:val="20"/>
    </w:rPr>
    <w:name w:val="List Bullet 3"/>
    <w:basedOn w:val="Normal"/>
    <w:uiPriority w:val="99"/>
    <w:unhideWhenUsed/>
    <w:rsid w:val="00326F90"/>
    <w:pPr>
      <w:numPr>
        <w:numId w:val="3"/>
      </w:numPr>
      <w:contextualSpacing/>
    </w:pPr>
  </w:style>
  <w:style w:type="paragraph" w:styleId="ListNumber">
    <w:rPr>
      <w:rFonts w:ascii="Arial" w:hAnsi="Arial" w:eastAsia="Arial" w:cs="Arial"/>
      <w:sz w:val="20"/>
      <w:szCs w:val="20"/>
    </w:rPr>
    <w:name w:val="List Number"/>
    <w:basedOn w:val="Normal"/>
    <w:uiPriority w:val="99"/>
    <w:unhideWhenUsed/>
    <w:rsid w:val="00326F90"/>
    <w:pPr>
      <w:numPr>
        <w:numId w:val="5"/>
      </w:numPr>
      <w:contextualSpacing/>
    </w:pPr>
  </w:style>
  <w:style w:type="paragraph" w:styleId="ListNumber2">
    <w:rPr>
      <w:rFonts w:ascii="Arial" w:hAnsi="Arial" w:eastAsia="Arial" w:cs="Arial"/>
      <w:sz w:val="20"/>
      <w:szCs w:val="20"/>
    </w:rPr>
    <w:name w:val="List Number 2"/>
    <w:basedOn w:val="Normal"/>
    <w:uiPriority w:val="99"/>
    <w:unhideWhenUsed/>
    <w:rsid w:val="0029639D"/>
    <w:pPr>
      <w:numPr>
        <w:numId w:val="6"/>
      </w:numPr>
      <w:contextualSpacing/>
    </w:pPr>
  </w:style>
  <w:style w:type="paragraph" w:styleId="ListNumber3">
    <w:rPr>
      <w:rFonts w:ascii="Arial" w:hAnsi="Arial" w:eastAsia="Arial" w:cs="Arial"/>
      <w:sz w:val="20"/>
      <w:szCs w:val="20"/>
    </w:rPr>
    <w:name w:val="List Number 3"/>
    <w:basedOn w:val="Normal"/>
    <w:uiPriority w:val="99"/>
    <w:unhideWhenUsed/>
    <w:rsid w:val="0029639D"/>
    <w:pPr>
      <w:numPr>
        <w:numId w:val="7"/>
      </w:numPr>
      <w:contextualSpacing/>
    </w:pPr>
  </w:style>
  <w:style w:type="paragraph" w:styleId="ListContinue">
    <w:rPr>
      <w:rFonts w:ascii="Arial" w:hAnsi="Arial" w:eastAsia="Arial" w:cs="Arial"/>
      <w:sz w:val="20"/>
      <w:szCs w:val="20"/>
    </w:rPr>
    <w:name w:val="List Continue"/>
    <w:basedOn w:val="Normal"/>
    <w:uiPriority w:val="99"/>
    <w:unhideWhenUsed/>
    <w:rsid w:val="0029639D"/>
    <w:pPr>
      <w:ind w:left="360"/>
      <w:contextualSpacing/>
    </w:pPr>
  </w:style>
  <w:style w:type="paragraph" w:styleId="ListContinue2">
    <w:rPr>
      <w:rFonts w:ascii="Arial" w:hAnsi="Arial" w:eastAsia="Arial" w:cs="Arial"/>
      <w:sz w:val="20"/>
      <w:szCs w:val="20"/>
    </w:rPr>
    <w:name w:val="List Continue 2"/>
    <w:basedOn w:val="Normal"/>
    <w:uiPriority w:val="99"/>
    <w:unhideWhenUsed/>
    <w:rsid w:val="0029639D"/>
    <w:pPr>
      <w:ind w:left="720"/>
      <w:contextualSpacing/>
    </w:pPr>
  </w:style>
  <w:style w:type="paragraph" w:styleId="ListContinue3">
    <w:rPr>
      <w:rFonts w:ascii="Arial" w:hAnsi="Arial" w:eastAsia="Arial" w:cs="Arial"/>
      <w:sz w:val="20"/>
      <w:szCs w:val="20"/>
    </w:rPr>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Fonts w:ascii="Arial" w:hAnsi="Arial" w:eastAsia="Arial" w:cs="Arial"/>
      <w:sz w:val="20"/>
      <w:szCs w:val="20"/>
    </w:rPr>
  </w:style>
  <w:style w:type="character" w:customStyle="1" w:styleId="QuoteChar">
    <w:name w:val="Quote Char"/>
    <w:basedOn w:val="DefaultParagraphFont"/>
    <w:link w:val="Quote"/>
    <w:uiPriority w:val="29"/>
    <w:rsid w:val="00FC693F"/>
    <w:rPr>
      <w:i/>
      <w:iCs/>
      <w:color w:val="000000" w:themeColor="text1"/>
      <w:rFonts w:ascii="Arial" w:hAnsi="Arial" w:eastAsia="Arial" w:cs="Arial"/>
      <w:sz w:val="20"/>
      <w:szCs w:val="20"/>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sz w:val="20"/>
      <w:szCs w:val="20"/>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sz w:val="20"/>
      <w:szCs w:val="20"/>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sz w:val="20"/>
      <w:szCs w:val="20"/>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sz w:val="20"/>
      <w:szCs w:val="20"/>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0"/>
      <w:szCs w:val="20"/>
      <w:rFonts w:ascii="Arial" w:hAnsi="Arial" w:eastAsia="Arial" w:cs="Arial"/>
    </w:rPr>
  </w:style>
  <w:style w:type="character" w:styleId="Strong">
    <w:name w:val="Strong"/>
    <w:basedOn w:val="DefaultParagraphFont"/>
    <w:uiPriority w:val="22"/>
    <w:qFormat/>
    <w:rsid w:val="00FC693F"/>
    <w:rPr>
      <w:b/>
      <w:bCs/>
      <w:rFonts w:ascii="Arial" w:hAnsi="Arial" w:eastAsia="Arial" w:cs="Arial"/>
      <w:sz w:val="20"/>
      <w:szCs w:val="20"/>
    </w:rPr>
  </w:style>
  <w:style w:type="character" w:styleId="Emphasis">
    <w:name w:val="Emphasis"/>
    <w:basedOn w:val="DefaultParagraphFont"/>
    <w:uiPriority w:val="20"/>
    <w:qFormat/>
    <w:rsid w:val="00FC693F"/>
    <w:rPr>
      <w:i/>
      <w:iCs/>
      <w:rFonts w:ascii="Arial" w:hAnsi="Arial" w:eastAsia="Arial" w:cs="Arial"/>
      <w:sz w:val="20"/>
      <w:szCs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Fonts w:ascii="Arial" w:hAnsi="Arial" w:eastAsia="Arial" w:cs="Arial"/>
      <w:sz w:val="20"/>
      <w:szCs w:val="20"/>
    </w:rPr>
  </w:style>
  <w:style w:type="character" w:customStyle="1" w:styleId="IntenseQuoteChar">
    <w:name w:val="Intense Quote Char"/>
    <w:basedOn w:val="DefaultParagraphFont"/>
    <w:link w:val="IntenseQuote"/>
    <w:uiPriority w:val="30"/>
    <w:rsid w:val="00FC693F"/>
    <w:rPr>
      <w:b/>
      <w:bCs/>
      <w:i/>
      <w:iCs/>
      <w:color w:val="4F81BD" w:themeColor="accent1"/>
      <w:rFonts w:ascii="Arial" w:hAnsi="Arial" w:eastAsia="Arial" w:cs="Arial"/>
      <w:sz w:val="20"/>
      <w:szCs w:val="20"/>
    </w:rPr>
  </w:style>
  <w:style w:type="character" w:styleId="SubtleEmphasis">
    <w:name w:val="Subtle Emphasis"/>
    <w:basedOn w:val="DefaultParagraphFont"/>
    <w:uiPriority w:val="19"/>
    <w:qFormat/>
    <w:rsid w:val="00FC693F"/>
    <w:rPr>
      <w:i/>
      <w:iCs/>
      <w:color w:val="808080" w:themeColor="text1" w:themeTint="7F"/>
      <w:rFonts w:ascii="Arial" w:hAnsi="Arial" w:eastAsia="Arial" w:cs="Arial"/>
      <w:sz w:val="20"/>
      <w:szCs w:val="20"/>
    </w:rPr>
  </w:style>
  <w:style w:type="character" w:styleId="IntenseEmphasis">
    <w:name w:val="Intense Emphasis"/>
    <w:basedOn w:val="DefaultParagraphFont"/>
    <w:uiPriority w:val="21"/>
    <w:qFormat/>
    <w:rsid w:val="00FC693F"/>
    <w:rPr>
      <w:b/>
      <w:bCs/>
      <w:i/>
      <w:iCs/>
      <w:color w:val="4F81BD" w:themeColor="accent1"/>
      <w:rFonts w:ascii="Arial" w:hAnsi="Arial" w:eastAsia="Arial" w:cs="Arial"/>
      <w:sz w:val="20"/>
      <w:szCs w:val="20"/>
    </w:rPr>
  </w:style>
  <w:style w:type="character" w:styleId="SubtleReference">
    <w:name w:val="Subtle Reference"/>
    <w:basedOn w:val="DefaultParagraphFont"/>
    <w:uiPriority w:val="31"/>
    <w:qFormat/>
    <w:rsid w:val="00FC693F"/>
    <w:rPr>
      <w:smallCaps/>
      <w:color w:val="C0504D" w:themeColor="accent2"/>
      <w:u w:val="single"/>
      <w:rFonts w:ascii="Arial" w:hAnsi="Arial" w:eastAsia="Arial" w:cs="Arial"/>
      <w:sz w:val="20"/>
      <w:szCs w:val="20"/>
    </w:rPr>
  </w:style>
  <w:style w:type="character" w:styleId="IntenseReference">
    <w:name w:val="Intense Reference"/>
    <w:basedOn w:val="DefaultParagraphFont"/>
    <w:uiPriority w:val="32"/>
    <w:qFormat/>
    <w:rsid w:val="00FC693F"/>
    <w:rPr>
      <w:b/>
      <w:bCs/>
      <w:smallCaps/>
      <w:color w:val="C0504D" w:themeColor="accent2"/>
      <w:spacing w:val="5"/>
      <w:u w:val="single"/>
      <w:rFonts w:ascii="Arial" w:hAnsi="Arial" w:eastAsia="Arial" w:cs="Arial"/>
      <w:sz w:val="20"/>
      <w:szCs w:val="20"/>
    </w:rPr>
  </w:style>
  <w:style w:type="character" w:styleId="BookTitle">
    <w:name w:val="Book Title"/>
    <w:basedOn w:val="DefaultParagraphFont"/>
    <w:uiPriority w:val="33"/>
    <w:qFormat/>
    <w:rsid w:val="00FC693F"/>
    <w:rPr>
      <w:b/>
      <w:bCs/>
      <w:smallCaps/>
      <w:spacing w:val="5"/>
      <w:rFonts w:ascii="Arial" w:hAnsi="Arial" w:eastAsia="Arial" w:cs="Arial"/>
      <w:sz w:val="20"/>
      <w:szCs w:val="20"/>
    </w:rPr>
  </w:style>
  <w:style w:type="paragraph" w:styleId="TOCHeading">
    <w:rPr>
      <w:rFonts w:ascii="Arial" w:hAnsi="Arial" w:eastAsia="Arial" w:cs="Arial"/>
      <w:sz w:val="20"/>
      <w:szCs w:val="20"/>
    </w:rPr>
    <w:name w:val="TOC Heading"/>
    <w:basedOn w:val="Heading1"/>
    <w:next w:val="Normal"/>
    <w:uiPriority w:val="39"/>
    <w:semiHidden/>
    <w:unhideWhenUsed/>
    <w:qFormat/>
    <w:rsid w:val="00FC693F"/>
    <w:pPr>
      <w:outlineLvl w:val="9"/>
    </w:pPr>
  </w:style>
  <w:style w:type="table" w:styleId="TableGrid">
    <w:rPr>
      <w:rFonts w:ascii="Arial" w:hAnsi="Arial" w:eastAsia="Arial" w:cs="Arial"/>
      <w:sz w:val="20"/>
      <w:szCs w:val="20"/>
    </w:rPr>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Fonts w:ascii="Arial" w:hAnsi="Arial" w:eastAsia="Arial" w:cs="Arial"/>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Fonts w:ascii="Arial" w:hAnsi="Arial" w:eastAsia="Arial" w:cs="Arial"/>
        <w:sz w:val="20"/>
        <w:szCs w:val="20"/>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Fonts w:ascii="Arial" w:hAnsi="Arial" w:eastAsia="Arial" w:cs="Arial"/>
      <w:sz w:val="20"/>
      <w:szCs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Fonts w:ascii="Arial" w:hAnsi="Arial" w:eastAsia="Arial" w:cs="Arial"/>
        <w:sz w:val="20"/>
        <w:szCs w:val="20"/>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Fonts w:ascii="Arial" w:hAnsi="Arial" w:eastAsia="Arial" w:cs="Arial"/>
      <w:sz w:val="20"/>
      <w:szCs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Fonts w:ascii="Arial" w:hAnsi="Arial" w:eastAsia="Arial" w:cs="Arial"/>
        <w:sz w:val="20"/>
        <w:szCs w:val="20"/>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Fonts w:ascii="Arial" w:hAnsi="Arial" w:eastAsia="Arial" w:cs="Arial"/>
      <w:sz w:val="20"/>
      <w:szCs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Fonts w:ascii="Arial" w:hAnsi="Arial" w:eastAsia="Arial" w:cs="Arial"/>
        <w:sz w:val="20"/>
        <w:szCs w:val="20"/>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Fonts w:ascii="Arial" w:hAnsi="Arial" w:eastAsia="Arial" w:cs="Arial"/>
      <w:sz w:val="20"/>
      <w:szCs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Fonts w:ascii="Arial" w:hAnsi="Arial" w:eastAsia="Arial" w:cs="Arial"/>
        <w:sz w:val="20"/>
        <w:szCs w:val="20"/>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Fonts w:ascii="Arial" w:hAnsi="Arial" w:eastAsia="Arial" w:cs="Arial"/>
      <w:sz w:val="20"/>
      <w:szCs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Fonts w:ascii="Arial" w:hAnsi="Arial" w:eastAsia="Arial" w:cs="Arial"/>
        <w:sz w:val="20"/>
        <w:szCs w:val="20"/>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Fonts w:ascii="Arial" w:hAnsi="Arial" w:eastAsia="Arial" w:cs="Arial"/>
      <w:sz w:val="20"/>
      <w:szCs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Fonts w:ascii="Arial" w:hAnsi="Arial" w:eastAsia="Arial" w:cs="Arial"/>
        <w:sz w:val="20"/>
        <w:szCs w:val="20"/>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rPr>
      <w:rFonts w:ascii="Arial" w:hAnsi="Arial" w:eastAsia="Arial" w:cs="Arial"/>
      <w:sz w:val="20"/>
      <w:szCs w:val="20"/>
    </w:rPr>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000000" w:themeFill="text1"/>
      </w:tcPr>
    </w:tblStylePr>
    <w:tblStylePr w:type="lastRow">
      <w:pPr>
        <w:spacing w:before="0" w:after="0" w:line="240" w:lineRule="auto"/>
      </w:pPr>
      <w:rPr>
        <w:b/>
        <w:bCs/>
        <w:rFonts w:ascii="Arial" w:hAnsi="Arial" w:eastAsia="Arial" w:cs="Arial"/>
        <w:sz w:val="20"/>
        <w:szCs w:val="20"/>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rPr>
      <w:rFonts w:ascii="Arial" w:hAnsi="Arial" w:eastAsia="Arial" w:cs="Arial"/>
      <w:sz w:val="20"/>
      <w:szCs w:val="20"/>
    </w:rPr>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4F81BD" w:themeFill="accent1"/>
      </w:tcPr>
    </w:tblStylePr>
    <w:tblStylePr w:type="lastRow">
      <w:pPr>
        <w:spacing w:before="0" w:after="0" w:line="240" w:lineRule="auto"/>
      </w:pPr>
      <w:rPr>
        <w:b/>
        <w:bCs/>
        <w:rFonts w:ascii="Arial" w:hAnsi="Arial" w:eastAsia="Arial" w:cs="Arial"/>
        <w:sz w:val="20"/>
        <w:szCs w:val="20"/>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rPr>
      <w:rFonts w:ascii="Arial" w:hAnsi="Arial" w:eastAsia="Arial" w:cs="Arial"/>
      <w:sz w:val="20"/>
      <w:szCs w:val="20"/>
    </w:rPr>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C0504D" w:themeFill="accent2"/>
      </w:tcPr>
    </w:tblStylePr>
    <w:tblStylePr w:type="lastRow">
      <w:pPr>
        <w:spacing w:before="0" w:after="0" w:line="240" w:lineRule="auto"/>
      </w:pPr>
      <w:rPr>
        <w:b/>
        <w:bCs/>
        <w:rFonts w:ascii="Arial" w:hAnsi="Arial" w:eastAsia="Arial" w:cs="Arial"/>
        <w:sz w:val="20"/>
        <w:szCs w:val="20"/>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rPr>
      <w:rFonts w:ascii="Arial" w:hAnsi="Arial" w:eastAsia="Arial" w:cs="Arial"/>
      <w:sz w:val="20"/>
      <w:szCs w:val="20"/>
    </w:rPr>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9BBB59" w:themeFill="accent3"/>
      </w:tcPr>
    </w:tblStylePr>
    <w:tblStylePr w:type="lastRow">
      <w:pPr>
        <w:spacing w:before="0" w:after="0" w:line="240" w:lineRule="auto"/>
      </w:pPr>
      <w:rPr>
        <w:b/>
        <w:bCs/>
        <w:rFonts w:ascii="Arial" w:hAnsi="Arial" w:eastAsia="Arial" w:cs="Arial"/>
        <w:sz w:val="20"/>
        <w:szCs w:val="20"/>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rPr>
      <w:rFonts w:ascii="Arial" w:hAnsi="Arial" w:eastAsia="Arial" w:cs="Arial"/>
      <w:sz w:val="20"/>
      <w:szCs w:val="20"/>
    </w:rPr>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8064A2" w:themeFill="accent4"/>
      </w:tcPr>
    </w:tblStylePr>
    <w:tblStylePr w:type="lastRow">
      <w:pPr>
        <w:spacing w:before="0" w:after="0" w:line="240" w:lineRule="auto"/>
      </w:pPr>
      <w:rPr>
        <w:b/>
        <w:bCs/>
        <w:rFonts w:ascii="Arial" w:hAnsi="Arial" w:eastAsia="Arial" w:cs="Arial"/>
        <w:sz w:val="20"/>
        <w:szCs w:val="20"/>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rPr>
      <w:rFonts w:ascii="Arial" w:hAnsi="Arial" w:eastAsia="Arial" w:cs="Arial"/>
      <w:sz w:val="20"/>
      <w:szCs w:val="20"/>
    </w:rPr>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4BACC6" w:themeFill="accent5"/>
      </w:tcPr>
    </w:tblStylePr>
    <w:tblStylePr w:type="lastRow">
      <w:pPr>
        <w:spacing w:before="0" w:after="0" w:line="240" w:lineRule="auto"/>
      </w:pPr>
      <w:rPr>
        <w:b/>
        <w:bCs/>
        <w:rFonts w:ascii="Arial" w:hAnsi="Arial" w:eastAsia="Arial" w:cs="Arial"/>
        <w:sz w:val="20"/>
        <w:szCs w:val="20"/>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rPr>
      <w:rFonts w:ascii="Arial" w:hAnsi="Arial" w:eastAsia="Arial" w:cs="Arial"/>
      <w:sz w:val="20"/>
      <w:szCs w:val="20"/>
    </w:rPr>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F79646" w:themeFill="accent6"/>
      </w:tcPr>
    </w:tblStylePr>
    <w:tblStylePr w:type="lastRow">
      <w:pPr>
        <w:spacing w:before="0" w:after="0" w:line="240" w:lineRule="auto"/>
      </w:pPr>
      <w:rPr>
        <w:b/>
        <w:bCs/>
        <w:rFonts w:ascii="Arial" w:hAnsi="Arial" w:eastAsia="Arial" w:cs="Arial"/>
        <w:sz w:val="20"/>
        <w:szCs w:val="20"/>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rPr>
      <w:rFonts w:ascii="Arial" w:hAnsi="Arial" w:eastAsia="Arial" w:cs="Arial"/>
      <w:sz w:val="20"/>
      <w:szCs w:val="20"/>
    </w:rPr>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hAnsi="Arial" w:eastAsia="Arial" w:cs="Arial"/>
        <w:b/>
        <w:bCs/>
        <w:sz w:val="20"/>
        <w:szCs w:val="20"/>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sz w:val="20"/>
        <w:szCs w:val="20"/>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rPr>
      <w:rFonts w:ascii="Arial" w:hAnsi="Arial" w:eastAsia="Arial" w:cs="Arial"/>
      <w:sz w:val="20"/>
      <w:szCs w:val="20"/>
    </w:rPr>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hAnsi="Arial" w:eastAsia="Arial" w:cs="Arial"/>
        <w:b/>
        <w:bCs/>
        <w:sz w:val="20"/>
        <w:szCs w:val="20"/>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sz w:val="20"/>
        <w:szCs w:val="20"/>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rPr>
      <w:rFonts w:ascii="Arial" w:hAnsi="Arial" w:eastAsia="Arial" w:cs="Arial"/>
      <w:sz w:val="20"/>
      <w:szCs w:val="20"/>
    </w:rPr>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hAnsi="Arial" w:eastAsia="Arial" w:cs="Arial"/>
        <w:b/>
        <w:bCs/>
        <w:sz w:val="20"/>
        <w:szCs w:val="20"/>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sz w:val="20"/>
        <w:szCs w:val="20"/>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rPr>
      <w:rFonts w:ascii="Arial" w:hAnsi="Arial" w:eastAsia="Arial" w:cs="Arial"/>
      <w:sz w:val="20"/>
      <w:szCs w:val="20"/>
    </w:rPr>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hAnsi="Arial" w:eastAsia="Arial" w:cs="Arial"/>
        <w:b/>
        <w:bCs/>
        <w:sz w:val="20"/>
        <w:szCs w:val="20"/>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sz w:val="20"/>
        <w:szCs w:val="20"/>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rPr>
      <w:rFonts w:ascii="Arial" w:hAnsi="Arial" w:eastAsia="Arial" w:cs="Arial"/>
      <w:sz w:val="20"/>
      <w:szCs w:val="20"/>
    </w:rPr>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hAnsi="Arial" w:eastAsia="Arial" w:cs="Arial"/>
        <w:b/>
        <w:bCs/>
        <w:sz w:val="20"/>
        <w:szCs w:val="20"/>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sz w:val="20"/>
        <w:szCs w:val="20"/>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rPr>
      <w:rFonts w:ascii="Arial" w:hAnsi="Arial" w:eastAsia="Arial" w:cs="Arial"/>
      <w:sz w:val="20"/>
      <w:szCs w:val="20"/>
    </w:rPr>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hAnsi="Arial" w:eastAsia="Arial" w:cs="Arial"/>
        <w:b/>
        <w:bCs/>
        <w:sz w:val="20"/>
        <w:szCs w:val="20"/>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sz w:val="20"/>
        <w:szCs w:val="20"/>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rPr>
      <w:rFonts w:ascii="Arial" w:hAnsi="Arial" w:eastAsia="Arial" w:cs="Arial"/>
      <w:sz w:val="20"/>
      <w:szCs w:val="20"/>
    </w:rPr>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hAnsi="Arial" w:eastAsia="Arial" w:cs="Arial"/>
        <w:b/>
        <w:bCs/>
        <w:sz w:val="20"/>
        <w:szCs w:val="20"/>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sz w:val="20"/>
        <w:szCs w:val="20"/>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rPr>
      <w:rFonts w:ascii="Arial" w:hAnsi="Arial" w:eastAsia="Arial" w:cs="Arial"/>
      <w:sz w:val="20"/>
      <w:szCs w:val="20"/>
    </w:rPr>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Fonts w:ascii="Arial" w:hAnsi="Arial" w:eastAsia="Arial" w:cs="Arial"/>
        <w:sz w:val="20"/>
        <w:szCs w:val="20"/>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rPr>
      <w:rFonts w:ascii="Arial" w:hAnsi="Arial" w:eastAsia="Arial" w:cs="Arial"/>
      <w:sz w:val="20"/>
      <w:szCs w:val="20"/>
    </w:rPr>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Fonts w:ascii="Arial" w:hAnsi="Arial" w:eastAsia="Arial" w:cs="Arial"/>
        <w:sz w:val="20"/>
        <w:szCs w:val="20"/>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rPr>
      <w:rFonts w:ascii="Arial" w:hAnsi="Arial" w:eastAsia="Arial" w:cs="Arial"/>
      <w:sz w:val="20"/>
      <w:szCs w:val="20"/>
    </w:rPr>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Fonts w:ascii="Arial" w:hAnsi="Arial" w:eastAsia="Arial" w:cs="Arial"/>
        <w:sz w:val="20"/>
        <w:szCs w:val="20"/>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rPr>
      <w:rFonts w:ascii="Arial" w:hAnsi="Arial" w:eastAsia="Arial" w:cs="Arial"/>
      <w:sz w:val="20"/>
      <w:szCs w:val="20"/>
    </w:rPr>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Fonts w:ascii="Arial" w:hAnsi="Arial" w:eastAsia="Arial" w:cs="Arial"/>
        <w:sz w:val="20"/>
        <w:szCs w:val="20"/>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rPr>
      <w:rFonts w:ascii="Arial" w:hAnsi="Arial" w:eastAsia="Arial" w:cs="Arial"/>
      <w:sz w:val="20"/>
      <w:szCs w:val="20"/>
    </w:rPr>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Fonts w:ascii="Arial" w:hAnsi="Arial" w:eastAsia="Arial" w:cs="Arial"/>
        <w:sz w:val="20"/>
        <w:szCs w:val="20"/>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rPr>
      <w:rFonts w:ascii="Arial" w:hAnsi="Arial" w:eastAsia="Arial" w:cs="Arial"/>
      <w:sz w:val="20"/>
      <w:szCs w:val="20"/>
    </w:rPr>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Fonts w:ascii="Arial" w:hAnsi="Arial" w:eastAsia="Arial" w:cs="Arial"/>
        <w:sz w:val="20"/>
        <w:szCs w:val="20"/>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rPr>
      <w:rFonts w:ascii="Arial" w:hAnsi="Arial" w:eastAsia="Arial" w:cs="Arial"/>
      <w:sz w:val="20"/>
      <w:szCs w:val="20"/>
    </w:rPr>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Fonts w:ascii="Arial" w:hAnsi="Arial" w:eastAsia="Arial" w:cs="Arial"/>
        <w:sz w:val="20"/>
        <w:szCs w:val="20"/>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rPr>
      <w:rFonts w:ascii="Arial" w:hAnsi="Arial" w:eastAsia="Arial" w:cs="Arial"/>
      <w:sz w:val="20"/>
      <w:szCs w:val="20"/>
    </w:rPr>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1">
    <w:rPr>
      <w:rFonts w:ascii="Arial" w:hAnsi="Arial" w:eastAsia="Arial" w:cs="Arial"/>
      <w:sz w:val="20"/>
      <w:szCs w:val="20"/>
    </w:rPr>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2">
    <w:rPr>
      <w:rFonts w:ascii="Arial" w:hAnsi="Arial" w:eastAsia="Arial" w:cs="Arial"/>
      <w:sz w:val="20"/>
      <w:szCs w:val="20"/>
    </w:rPr>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3">
    <w:rPr>
      <w:rFonts w:ascii="Arial" w:hAnsi="Arial" w:eastAsia="Arial" w:cs="Arial"/>
      <w:sz w:val="20"/>
      <w:szCs w:val="20"/>
    </w:rPr>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4">
    <w:rPr>
      <w:rFonts w:ascii="Arial" w:hAnsi="Arial" w:eastAsia="Arial" w:cs="Arial"/>
      <w:sz w:val="20"/>
      <w:szCs w:val="20"/>
    </w:rPr>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5">
    <w:rPr>
      <w:rFonts w:ascii="Arial" w:hAnsi="Arial" w:eastAsia="Arial" w:cs="Arial"/>
      <w:sz w:val="20"/>
      <w:szCs w:val="20"/>
    </w:rPr>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6">
    <w:rPr>
      <w:rFonts w:ascii="Arial" w:hAnsi="Arial" w:eastAsia="Arial" w:cs="Arial"/>
      <w:sz w:val="20"/>
      <w:szCs w:val="20"/>
    </w:rPr>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000000" w:themeColor="text1"/>
        <w:bottom w:val="single" w:sz="8" w:space="0" w:color="000000" w:themeColor="text1"/>
      </w:tblBorders>
    </w:tblPr>
    <w:tblStylePr w:type="firstRow">
      <w:rPr>
        <w:rFonts w:ascii="Arial" w:hAnsi="Arial" w:eastAsia="Arial" w:cs="Arial"/>
        <w:sz w:val="20"/>
        <w:szCs w:val="20"/>
      </w:rPr>
      <w:tblPr/>
      <w:tcPr>
        <w:tcBorders>
          <w:top w:val="nil"/>
          <w:bottom w:val="single" w:sz="8" w:space="0" w:color="000000" w:themeColor="text1"/>
        </w:tcBorders>
      </w:tcPr>
    </w:tblStylePr>
    <w:tblStylePr w:type="lastRow">
      <w:rPr>
        <w:b/>
        <w:bCs/>
        <w:color w:val="1F497D" w:themeColor="text2"/>
        <w:rFonts w:ascii="Arial" w:hAnsi="Arial" w:eastAsia="Arial" w:cs="Arial"/>
        <w:sz w:val="20"/>
        <w:szCs w:val="20"/>
      </w:rPr>
      <w:tblPr/>
      <w:tcPr>
        <w:tcBorders>
          <w:top w:val="single" w:sz="8" w:space="0" w:color="000000" w:themeColor="text1"/>
          <w:bottom w:val="single" w:sz="8" w:space="0" w:color="000000" w:themeColor="tex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4F81BD" w:themeColor="accent1"/>
        <w:bottom w:val="single" w:sz="8" w:space="0" w:color="4F81BD" w:themeColor="accent1"/>
      </w:tblBorders>
    </w:tblPr>
    <w:tblStylePr w:type="firstRow">
      <w:rPr>
        <w:rFonts w:ascii="Arial" w:hAnsi="Arial" w:eastAsia="Arial" w:cs="Arial"/>
        <w:sz w:val="20"/>
        <w:szCs w:val="20"/>
      </w:rPr>
      <w:tblPr/>
      <w:tcPr>
        <w:tcBorders>
          <w:top w:val="nil"/>
          <w:bottom w:val="single" w:sz="8" w:space="0" w:color="4F81BD" w:themeColor="accent1"/>
        </w:tcBorders>
      </w:tcPr>
    </w:tblStylePr>
    <w:tblStylePr w:type="lastRow">
      <w:rPr>
        <w:b/>
        <w:bCs/>
        <w:color w:val="1F497D" w:themeColor="text2"/>
        <w:rFonts w:ascii="Arial" w:hAnsi="Arial" w:eastAsia="Arial" w:cs="Arial"/>
        <w:sz w:val="20"/>
        <w:szCs w:val="20"/>
      </w:rPr>
      <w:tblPr/>
      <w:tcPr>
        <w:tcBorders>
          <w:top w:val="single" w:sz="8" w:space="0" w:color="4F81BD" w:themeColor="accent1"/>
          <w:bottom w:val="single" w:sz="8" w:space="0" w:color="4F81BD" w:themeColor="accen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C0504D" w:themeColor="accent2"/>
        <w:bottom w:val="single" w:sz="8" w:space="0" w:color="C0504D" w:themeColor="accent2"/>
      </w:tblBorders>
    </w:tblPr>
    <w:tblStylePr w:type="firstRow">
      <w:rPr>
        <w:rFonts w:ascii="Arial" w:hAnsi="Arial" w:eastAsia="Arial" w:cs="Arial"/>
        <w:sz w:val="20"/>
        <w:szCs w:val="20"/>
      </w:rPr>
      <w:tblPr/>
      <w:tcPr>
        <w:tcBorders>
          <w:top w:val="nil"/>
          <w:bottom w:val="single" w:sz="8" w:space="0" w:color="C0504D" w:themeColor="accent2"/>
        </w:tcBorders>
      </w:tcPr>
    </w:tblStylePr>
    <w:tblStylePr w:type="lastRow">
      <w:rPr>
        <w:b/>
        <w:bCs/>
        <w:color w:val="1F497D" w:themeColor="text2"/>
        <w:rFonts w:ascii="Arial" w:hAnsi="Arial" w:eastAsia="Arial" w:cs="Arial"/>
        <w:sz w:val="20"/>
        <w:szCs w:val="20"/>
      </w:rPr>
      <w:tblPr/>
      <w:tcPr>
        <w:tcBorders>
          <w:top w:val="single" w:sz="8" w:space="0" w:color="C0504D" w:themeColor="accent2"/>
          <w:bottom w:val="single" w:sz="8" w:space="0" w:color="C0504D" w:themeColor="accent2"/>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9BBB59" w:themeColor="accent3"/>
        <w:bottom w:val="single" w:sz="8" w:space="0" w:color="9BBB59" w:themeColor="accent3"/>
      </w:tblBorders>
    </w:tblPr>
    <w:tblStylePr w:type="firstRow">
      <w:rPr>
        <w:rFonts w:ascii="Arial" w:hAnsi="Arial" w:eastAsia="Arial" w:cs="Arial"/>
        <w:sz w:val="20"/>
        <w:szCs w:val="20"/>
      </w:rPr>
      <w:tblPr/>
      <w:tcPr>
        <w:tcBorders>
          <w:top w:val="nil"/>
          <w:bottom w:val="single" w:sz="8" w:space="0" w:color="9BBB59" w:themeColor="accent3"/>
        </w:tcBorders>
      </w:tcPr>
    </w:tblStylePr>
    <w:tblStylePr w:type="lastRow">
      <w:rPr>
        <w:b/>
        <w:bCs/>
        <w:color w:val="1F497D" w:themeColor="text2"/>
        <w:rFonts w:ascii="Arial" w:hAnsi="Arial" w:eastAsia="Arial" w:cs="Arial"/>
        <w:sz w:val="20"/>
        <w:szCs w:val="20"/>
      </w:rPr>
      <w:tblPr/>
      <w:tcPr>
        <w:tcBorders>
          <w:top w:val="single" w:sz="8" w:space="0" w:color="9BBB59" w:themeColor="accent3"/>
          <w:bottom w:val="single" w:sz="8" w:space="0" w:color="9BBB59" w:themeColor="accent3"/>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8064A2" w:themeColor="accent4"/>
        <w:bottom w:val="single" w:sz="8" w:space="0" w:color="8064A2" w:themeColor="accent4"/>
      </w:tblBorders>
    </w:tblPr>
    <w:tblStylePr w:type="firstRow">
      <w:rPr>
        <w:rFonts w:ascii="Arial" w:hAnsi="Arial" w:eastAsia="Arial" w:cs="Arial"/>
        <w:sz w:val="20"/>
        <w:szCs w:val="20"/>
      </w:rPr>
      <w:tblPr/>
      <w:tcPr>
        <w:tcBorders>
          <w:top w:val="nil"/>
          <w:bottom w:val="single" w:sz="8" w:space="0" w:color="8064A2" w:themeColor="accent4"/>
        </w:tcBorders>
      </w:tcPr>
    </w:tblStylePr>
    <w:tblStylePr w:type="lastRow">
      <w:rPr>
        <w:b/>
        <w:bCs/>
        <w:color w:val="1F497D" w:themeColor="text2"/>
        <w:rFonts w:ascii="Arial" w:hAnsi="Arial" w:eastAsia="Arial" w:cs="Arial"/>
        <w:sz w:val="20"/>
        <w:szCs w:val="20"/>
      </w:rPr>
      <w:tblPr/>
      <w:tcPr>
        <w:tcBorders>
          <w:top w:val="single" w:sz="8" w:space="0" w:color="8064A2" w:themeColor="accent4"/>
          <w:bottom w:val="single" w:sz="8" w:space="0" w:color="8064A2" w:themeColor="accent4"/>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4BACC6" w:themeColor="accent5"/>
        <w:bottom w:val="single" w:sz="8" w:space="0" w:color="4BACC6" w:themeColor="accent5"/>
      </w:tblBorders>
    </w:tblPr>
    <w:tblStylePr w:type="firstRow">
      <w:rPr>
        <w:rFonts w:ascii="Arial" w:hAnsi="Arial" w:eastAsia="Arial" w:cs="Arial"/>
        <w:sz w:val="20"/>
        <w:szCs w:val="20"/>
      </w:rPr>
      <w:tblPr/>
      <w:tcPr>
        <w:tcBorders>
          <w:top w:val="nil"/>
          <w:bottom w:val="single" w:sz="8" w:space="0" w:color="4BACC6" w:themeColor="accent5"/>
        </w:tcBorders>
      </w:tcPr>
    </w:tblStylePr>
    <w:tblStylePr w:type="lastRow">
      <w:rPr>
        <w:b/>
        <w:bCs/>
        <w:color w:val="1F497D" w:themeColor="text2"/>
        <w:rFonts w:ascii="Arial" w:hAnsi="Arial" w:eastAsia="Arial" w:cs="Arial"/>
        <w:sz w:val="20"/>
        <w:szCs w:val="20"/>
      </w:rPr>
      <w:tblPr/>
      <w:tcPr>
        <w:tcBorders>
          <w:top w:val="single" w:sz="8" w:space="0" w:color="4BACC6" w:themeColor="accent5"/>
          <w:bottom w:val="single" w:sz="8" w:space="0" w:color="4BACC6" w:themeColor="accent5"/>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F79646" w:themeColor="accent6"/>
        <w:bottom w:val="single" w:sz="8" w:space="0" w:color="F79646" w:themeColor="accent6"/>
      </w:tblBorders>
    </w:tblPr>
    <w:tblStylePr w:type="firstRow">
      <w:rPr>
        <w:rFonts w:ascii="Arial" w:hAnsi="Arial" w:eastAsia="Arial" w:cs="Arial"/>
        <w:sz w:val="20"/>
        <w:szCs w:val="20"/>
      </w:rPr>
      <w:tblPr/>
      <w:tcPr>
        <w:tcBorders>
          <w:top w:val="nil"/>
          <w:bottom w:val="single" w:sz="8" w:space="0" w:color="F79646" w:themeColor="accent6"/>
        </w:tcBorders>
      </w:tcPr>
    </w:tblStylePr>
    <w:tblStylePr w:type="lastRow">
      <w:rPr>
        <w:b/>
        <w:bCs/>
        <w:color w:val="1F497D" w:themeColor="text2"/>
        <w:rFonts w:ascii="Arial" w:hAnsi="Arial" w:eastAsia="Arial" w:cs="Arial"/>
        <w:sz w:val="20"/>
        <w:szCs w:val="20"/>
      </w:rPr>
      <w:tblPr/>
      <w:tcPr>
        <w:tcBorders>
          <w:top w:val="single" w:sz="8" w:space="0" w:color="F79646" w:themeColor="accent6"/>
          <w:bottom w:val="single" w:sz="8" w:space="0" w:color="F79646" w:themeColor="accent6"/>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0"/>
        <w:szCs w:val="20"/>
        <w:rFonts w:ascii="Arial" w:hAnsi="Arial" w:eastAsia="Arial" w:cs="Arial"/>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0"/>
        <w:szCs w:val="20"/>
        <w:rFonts w:ascii="Arial" w:hAnsi="Arial" w:eastAsia="Arial" w:cs="Arial"/>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0"/>
        <w:szCs w:val="20"/>
        <w:rFonts w:ascii="Arial" w:hAnsi="Arial" w:eastAsia="Arial" w:cs="Arial"/>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0"/>
        <w:szCs w:val="20"/>
        <w:rFonts w:ascii="Arial" w:hAnsi="Arial" w:eastAsia="Arial" w:cs="Arial"/>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0"/>
        <w:szCs w:val="20"/>
        <w:rFonts w:ascii="Arial" w:hAnsi="Arial" w:eastAsia="Arial" w:cs="Arial"/>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0"/>
        <w:szCs w:val="20"/>
        <w:rFonts w:ascii="Arial" w:hAnsi="Arial" w:eastAsia="Arial" w:cs="Arial"/>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0"/>
        <w:szCs w:val="20"/>
        <w:rFonts w:ascii="Arial" w:hAnsi="Arial" w:eastAsia="Arial" w:cs="Arial"/>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rPr>
      <w:rFonts w:ascii="Arial" w:hAnsi="Arial" w:eastAsia="Arial" w:cs="Arial"/>
      <w:sz w:val="20"/>
      <w:szCs w:val="20"/>
    </w:rPr>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404040" w:themeColor="text1"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rPr>
      <w:rFonts w:ascii="Arial" w:hAnsi="Arial" w:eastAsia="Arial" w:cs="Arial"/>
      <w:sz w:val="20"/>
      <w:szCs w:val="20"/>
    </w:rPr>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7BA0CD" w:themeColor="accent1"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rPr>
      <w:rFonts w:ascii="Arial" w:hAnsi="Arial" w:eastAsia="Arial" w:cs="Arial"/>
      <w:sz w:val="20"/>
      <w:szCs w:val="20"/>
    </w:rPr>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CF7B79" w:themeColor="accent2"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rPr>
      <w:rFonts w:ascii="Arial" w:hAnsi="Arial" w:eastAsia="Arial" w:cs="Arial"/>
      <w:sz w:val="20"/>
      <w:szCs w:val="20"/>
    </w:rPr>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B3CC82" w:themeColor="accent3"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rPr>
      <w:rFonts w:ascii="Arial" w:hAnsi="Arial" w:eastAsia="Arial" w:cs="Arial"/>
      <w:sz w:val="20"/>
      <w:szCs w:val="20"/>
    </w:rPr>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9F8AB9" w:themeColor="accent4"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rPr>
      <w:rFonts w:ascii="Arial" w:hAnsi="Arial" w:eastAsia="Arial" w:cs="Arial"/>
      <w:sz w:val="20"/>
      <w:szCs w:val="20"/>
    </w:rPr>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78C0D4" w:themeColor="accent5"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rPr>
      <w:rFonts w:ascii="Arial" w:hAnsi="Arial" w:eastAsia="Arial" w:cs="Arial"/>
      <w:sz w:val="20"/>
      <w:szCs w:val="20"/>
    </w:rPr>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F9B074" w:themeColor="accent6"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Fonts w:ascii="Arial" w:hAnsi="Arial" w:eastAsia="Arial" w:cs="Arial"/>
        <w:sz w:val="20"/>
        <w:szCs w:val="20"/>
      </w:rPr>
      <w:tblPr/>
      <w:tcPr>
        <w:shd w:val="clear" w:color="auto" w:fill="E6E6E6" w:themeFill="text1"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Fonts w:ascii="Arial" w:hAnsi="Arial" w:eastAsia="Arial" w:cs="Arial"/>
        <w:sz w:val="20"/>
        <w:szCs w:val="20"/>
      </w:rPr>
      <w:tblPr/>
      <w:tcPr>
        <w:shd w:val="clear" w:color="auto" w:fill="EDF2F8" w:themeFill="accent1"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Fonts w:ascii="Arial" w:hAnsi="Arial" w:eastAsia="Arial" w:cs="Arial"/>
        <w:sz w:val="20"/>
        <w:szCs w:val="20"/>
      </w:rPr>
      <w:tblPr/>
      <w:tcPr>
        <w:shd w:val="clear" w:color="auto" w:fill="F8EDED" w:themeFill="accent2"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Fonts w:ascii="Arial" w:hAnsi="Arial" w:eastAsia="Arial" w:cs="Arial"/>
        <w:sz w:val="20"/>
        <w:szCs w:val="20"/>
      </w:rPr>
      <w:tblPr/>
      <w:tcPr>
        <w:shd w:val="clear" w:color="auto" w:fill="F5F8EE" w:themeFill="accent3"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Fonts w:ascii="Arial" w:hAnsi="Arial" w:eastAsia="Arial" w:cs="Arial"/>
        <w:sz w:val="20"/>
        <w:szCs w:val="20"/>
      </w:rPr>
      <w:tblPr/>
      <w:tcPr>
        <w:shd w:val="clear" w:color="auto" w:fill="F2EFF6" w:themeFill="accent4"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Fonts w:ascii="Arial" w:hAnsi="Arial" w:eastAsia="Arial" w:cs="Arial"/>
        <w:sz w:val="20"/>
        <w:szCs w:val="20"/>
      </w:rPr>
      <w:tblPr/>
      <w:tcPr>
        <w:shd w:val="clear" w:color="auto" w:fill="EDF6F9" w:themeFill="accent5"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Fonts w:ascii="Arial" w:hAnsi="Arial" w:eastAsia="Arial" w:cs="Arial"/>
        <w:sz w:val="20"/>
        <w:szCs w:val="20"/>
      </w:rPr>
      <w:tblPr/>
      <w:tcPr>
        <w:shd w:val="clear" w:color="auto" w:fill="FEF4EC" w:themeFill="accent6"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rPr>
      <w:rFonts w:ascii="Arial" w:hAnsi="Arial" w:eastAsia="Arial" w:cs="Arial"/>
      <w:sz w:val="20"/>
      <w:szCs w:val="20"/>
    </w:rPr>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rPr>
      <w:rFonts w:ascii="Arial" w:hAnsi="Arial" w:eastAsia="Arial" w:cs="Arial"/>
      <w:sz w:val="20"/>
      <w:szCs w:val="20"/>
    </w:rPr>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rPr>
      <w:rFonts w:ascii="Arial" w:hAnsi="Arial" w:eastAsia="Arial" w:cs="Arial"/>
      <w:sz w:val="20"/>
      <w:szCs w:val="20"/>
    </w:rPr>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rPr>
      <w:rFonts w:ascii="Arial" w:hAnsi="Arial" w:eastAsia="Arial" w:cs="Arial"/>
      <w:sz w:val="20"/>
      <w:szCs w:val="20"/>
    </w:rPr>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rPr>
      <w:rFonts w:ascii="Arial" w:hAnsi="Arial" w:eastAsia="Arial" w:cs="Arial"/>
      <w:sz w:val="20"/>
      <w:szCs w:val="20"/>
    </w:rPr>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rPr>
      <w:rFonts w:ascii="Arial" w:hAnsi="Arial" w:eastAsia="Arial" w:cs="Arial"/>
      <w:sz w:val="20"/>
      <w:szCs w:val="20"/>
    </w:rPr>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rPr>
      <w:rFonts w:ascii="Arial" w:hAnsi="Arial" w:eastAsia="Arial" w:cs="Arial"/>
      <w:sz w:val="20"/>
      <w:szCs w:val="20"/>
    </w:rPr>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000000" w:themeFill="text1"/>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4F81BD" w:themeFill="accent1"/>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C0504D" w:themeFill="accent2"/>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9BBB59" w:themeFill="accent3"/>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8064A2" w:themeFill="accent4"/>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4BACC6" w:themeFill="accent5"/>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F79646" w:themeFill="accent6"/>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000000" w:themeFill="text1"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1">
    <w:name w:val="Colorful Shading Accent 1"/>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2C4C74" w:themeFill="accent1"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2">
    <w:name w:val="Colorful Shading Accent 2"/>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772C2A" w:themeFill="accent2"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3">
    <w:name w:val="Colorful Shading Accent 3"/>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Fonts w:ascii="Arial" w:hAnsi="Arial" w:eastAsia="Arial" w:cs="Arial"/>
        <w:sz w:val="20"/>
        <w:szCs w:val="20"/>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5E7530" w:themeFill="accent3"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Fonts w:ascii="Arial" w:hAnsi="Arial" w:eastAsia="Arial" w:cs="Arial"/>
        <w:sz w:val="20"/>
        <w:szCs w:val="20"/>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4C3B62" w:themeFill="accent4"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5">
    <w:name w:val="Colorful Shading Accent 5"/>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Fonts w:ascii="Arial" w:hAnsi="Arial" w:eastAsia="Arial" w:cs="Arial"/>
        <w:sz w:val="20"/>
        <w:szCs w:val="20"/>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276A7C" w:themeFill="accent5"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6">
    <w:name w:val="Colorful Shading Accent 6"/>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Fonts w:ascii="Arial" w:hAnsi="Arial" w:eastAsia="Arial" w:cs="Arial"/>
        <w:sz w:val="20"/>
        <w:szCs w:val="20"/>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B65608" w:themeFill="accent6"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List">
    <w:name w:val="Colorful List"/>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6E6E6" w:themeFill="text1"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DF2F8" w:themeFill="accent1"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8EDED" w:themeFill="accent2"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5F8EE" w:themeFill="accent3"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2EFF6" w:themeFill="accent4"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DF6F9" w:themeFill="accent5"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EF4EC" w:themeFill="accent6"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Fonts w:ascii="Arial" w:hAnsi="Arial" w:eastAsia="Arial" w:cs="Arial"/>
        <w:sz w:val="20"/>
        <w:szCs w:val="20"/>
      </w:rPr>
      <w:tblPr/>
      <w:tcPr>
        <w:shd w:val="clear" w:color="auto" w:fill="999999" w:themeFill="text1" w:themeFillTint="66"/>
      </w:tcPr>
    </w:tblStylePr>
    <w:tblStylePr w:type="lastRow">
      <w:rPr>
        <w:b/>
        <w:bCs/>
        <w:color w:val="000000" w:themeColor="text1"/>
        <w:rFonts w:ascii="Arial" w:hAnsi="Arial" w:eastAsia="Arial" w:cs="Arial"/>
        <w:sz w:val="20"/>
        <w:szCs w:val="20"/>
      </w:rPr>
      <w:tblPr/>
      <w:tcPr>
        <w:shd w:val="clear" w:color="auto" w:fill="999999" w:themeFill="text1" w:themeFillTint="66"/>
      </w:tcPr>
    </w:tblStylePr>
    <w:tblStylePr w:type="firstCol">
      <w:rPr>
        <w:color w:val="FFFFFF" w:themeColor="background1"/>
        <w:rFonts w:ascii="Arial" w:hAnsi="Arial" w:eastAsia="Arial" w:cs="Arial"/>
        <w:sz w:val="20"/>
        <w:szCs w:val="20"/>
      </w:rPr>
      <w:tblPr/>
      <w:tcPr>
        <w:shd w:val="clear" w:color="auto" w:fill="000000" w:themeFill="text1" w:themeFillShade="BF"/>
      </w:tcPr>
    </w:tblStylePr>
    <w:tblStylePr w:type="lastCol">
      <w:rPr>
        <w:color w:val="FFFFFF" w:themeColor="background1"/>
        <w:rFonts w:ascii="Arial" w:hAnsi="Arial" w:eastAsia="Arial" w:cs="Arial"/>
        <w:sz w:val="20"/>
        <w:szCs w:val="2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Fonts w:ascii="Arial" w:hAnsi="Arial" w:eastAsia="Arial" w:cs="Arial"/>
        <w:sz w:val="20"/>
        <w:szCs w:val="20"/>
      </w:rPr>
      <w:tblPr/>
      <w:tcPr>
        <w:shd w:val="clear" w:color="auto" w:fill="B8CCE4" w:themeFill="accent1" w:themeFillTint="66"/>
      </w:tcPr>
    </w:tblStylePr>
    <w:tblStylePr w:type="lastRow">
      <w:rPr>
        <w:b/>
        <w:bCs/>
        <w:color w:val="000000" w:themeColor="text1"/>
        <w:rFonts w:ascii="Arial" w:hAnsi="Arial" w:eastAsia="Arial" w:cs="Arial"/>
        <w:sz w:val="20"/>
        <w:szCs w:val="20"/>
      </w:rPr>
      <w:tblPr/>
      <w:tcPr>
        <w:shd w:val="clear" w:color="auto" w:fill="B8CCE4" w:themeFill="accent1" w:themeFillTint="66"/>
      </w:tcPr>
    </w:tblStylePr>
    <w:tblStylePr w:type="firstCol">
      <w:rPr>
        <w:color w:val="FFFFFF" w:themeColor="background1"/>
        <w:rFonts w:ascii="Arial" w:hAnsi="Arial" w:eastAsia="Arial" w:cs="Arial"/>
        <w:sz w:val="20"/>
        <w:szCs w:val="20"/>
      </w:rPr>
      <w:tblPr/>
      <w:tcPr>
        <w:shd w:val="clear" w:color="auto" w:fill="365F91" w:themeFill="accent1" w:themeFillShade="BF"/>
      </w:tcPr>
    </w:tblStylePr>
    <w:tblStylePr w:type="lastCol">
      <w:rPr>
        <w:color w:val="FFFFFF" w:themeColor="background1"/>
        <w:rFonts w:ascii="Arial" w:hAnsi="Arial" w:eastAsia="Arial" w:cs="Arial"/>
        <w:sz w:val="20"/>
        <w:szCs w:val="2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Fonts w:ascii="Arial" w:hAnsi="Arial" w:eastAsia="Arial" w:cs="Arial"/>
        <w:sz w:val="20"/>
        <w:szCs w:val="20"/>
      </w:rPr>
      <w:tblPr/>
      <w:tcPr>
        <w:shd w:val="clear" w:color="auto" w:fill="E5B8B7" w:themeFill="accent2" w:themeFillTint="66"/>
      </w:tcPr>
    </w:tblStylePr>
    <w:tblStylePr w:type="lastRow">
      <w:rPr>
        <w:b/>
        <w:bCs/>
        <w:color w:val="000000" w:themeColor="text1"/>
        <w:rFonts w:ascii="Arial" w:hAnsi="Arial" w:eastAsia="Arial" w:cs="Arial"/>
        <w:sz w:val="20"/>
        <w:szCs w:val="20"/>
      </w:rPr>
      <w:tblPr/>
      <w:tcPr>
        <w:shd w:val="clear" w:color="auto" w:fill="E5B8B7" w:themeFill="accent2" w:themeFillTint="66"/>
      </w:tcPr>
    </w:tblStylePr>
    <w:tblStylePr w:type="firstCol">
      <w:rPr>
        <w:color w:val="FFFFFF" w:themeColor="background1"/>
        <w:rFonts w:ascii="Arial" w:hAnsi="Arial" w:eastAsia="Arial" w:cs="Arial"/>
        <w:sz w:val="20"/>
        <w:szCs w:val="20"/>
      </w:rPr>
      <w:tblPr/>
      <w:tcPr>
        <w:shd w:val="clear" w:color="auto" w:fill="943634" w:themeFill="accent2" w:themeFillShade="BF"/>
      </w:tcPr>
    </w:tblStylePr>
    <w:tblStylePr w:type="lastCol">
      <w:rPr>
        <w:color w:val="FFFFFF" w:themeColor="background1"/>
        <w:rFonts w:ascii="Arial" w:hAnsi="Arial" w:eastAsia="Arial" w:cs="Arial"/>
        <w:sz w:val="20"/>
        <w:szCs w:val="2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Fonts w:ascii="Arial" w:hAnsi="Arial" w:eastAsia="Arial" w:cs="Arial"/>
        <w:sz w:val="20"/>
        <w:szCs w:val="20"/>
      </w:rPr>
      <w:tblPr/>
      <w:tcPr>
        <w:shd w:val="clear" w:color="auto" w:fill="D6E3BC" w:themeFill="accent3" w:themeFillTint="66"/>
      </w:tcPr>
    </w:tblStylePr>
    <w:tblStylePr w:type="lastRow">
      <w:rPr>
        <w:b/>
        <w:bCs/>
        <w:color w:val="000000" w:themeColor="text1"/>
        <w:rFonts w:ascii="Arial" w:hAnsi="Arial" w:eastAsia="Arial" w:cs="Arial"/>
        <w:sz w:val="20"/>
        <w:szCs w:val="20"/>
      </w:rPr>
      <w:tblPr/>
      <w:tcPr>
        <w:shd w:val="clear" w:color="auto" w:fill="D6E3BC" w:themeFill="accent3" w:themeFillTint="66"/>
      </w:tcPr>
    </w:tblStylePr>
    <w:tblStylePr w:type="firstCol">
      <w:rPr>
        <w:color w:val="FFFFFF" w:themeColor="background1"/>
        <w:rFonts w:ascii="Arial" w:hAnsi="Arial" w:eastAsia="Arial" w:cs="Arial"/>
        <w:sz w:val="20"/>
        <w:szCs w:val="20"/>
      </w:rPr>
      <w:tblPr/>
      <w:tcPr>
        <w:shd w:val="clear" w:color="auto" w:fill="76923C" w:themeFill="accent3" w:themeFillShade="BF"/>
      </w:tcPr>
    </w:tblStylePr>
    <w:tblStylePr w:type="lastCol">
      <w:rPr>
        <w:color w:val="FFFFFF" w:themeColor="background1"/>
        <w:rFonts w:ascii="Arial" w:hAnsi="Arial" w:eastAsia="Arial" w:cs="Arial"/>
        <w:sz w:val="20"/>
        <w:szCs w:val="2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Fonts w:ascii="Arial" w:hAnsi="Arial" w:eastAsia="Arial" w:cs="Arial"/>
        <w:sz w:val="20"/>
        <w:szCs w:val="20"/>
      </w:rPr>
      <w:tblPr/>
      <w:tcPr>
        <w:shd w:val="clear" w:color="auto" w:fill="CCC0D9" w:themeFill="accent4" w:themeFillTint="66"/>
      </w:tcPr>
    </w:tblStylePr>
    <w:tblStylePr w:type="lastRow">
      <w:rPr>
        <w:b/>
        <w:bCs/>
        <w:color w:val="000000" w:themeColor="text1"/>
        <w:rFonts w:ascii="Arial" w:hAnsi="Arial" w:eastAsia="Arial" w:cs="Arial"/>
        <w:sz w:val="20"/>
        <w:szCs w:val="20"/>
      </w:rPr>
      <w:tblPr/>
      <w:tcPr>
        <w:shd w:val="clear" w:color="auto" w:fill="CCC0D9" w:themeFill="accent4" w:themeFillTint="66"/>
      </w:tcPr>
    </w:tblStylePr>
    <w:tblStylePr w:type="firstCol">
      <w:rPr>
        <w:color w:val="FFFFFF" w:themeColor="background1"/>
        <w:rFonts w:ascii="Arial" w:hAnsi="Arial" w:eastAsia="Arial" w:cs="Arial"/>
        <w:sz w:val="20"/>
        <w:szCs w:val="20"/>
      </w:rPr>
      <w:tblPr/>
      <w:tcPr>
        <w:shd w:val="clear" w:color="auto" w:fill="5F497A" w:themeFill="accent4" w:themeFillShade="BF"/>
      </w:tcPr>
    </w:tblStylePr>
    <w:tblStylePr w:type="lastCol">
      <w:rPr>
        <w:color w:val="FFFFFF" w:themeColor="background1"/>
        <w:rFonts w:ascii="Arial" w:hAnsi="Arial" w:eastAsia="Arial" w:cs="Arial"/>
        <w:sz w:val="20"/>
        <w:szCs w:val="2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Fonts w:ascii="Arial" w:hAnsi="Arial" w:eastAsia="Arial" w:cs="Arial"/>
        <w:sz w:val="20"/>
        <w:szCs w:val="20"/>
      </w:rPr>
      <w:tblPr/>
      <w:tcPr>
        <w:shd w:val="clear" w:color="auto" w:fill="B6DDE8" w:themeFill="accent5" w:themeFillTint="66"/>
      </w:tcPr>
    </w:tblStylePr>
    <w:tblStylePr w:type="lastRow">
      <w:rPr>
        <w:b/>
        <w:bCs/>
        <w:color w:val="000000" w:themeColor="text1"/>
        <w:rFonts w:ascii="Arial" w:hAnsi="Arial" w:eastAsia="Arial" w:cs="Arial"/>
        <w:sz w:val="20"/>
        <w:szCs w:val="20"/>
      </w:rPr>
      <w:tblPr/>
      <w:tcPr>
        <w:shd w:val="clear" w:color="auto" w:fill="B6DDE8" w:themeFill="accent5" w:themeFillTint="66"/>
      </w:tcPr>
    </w:tblStylePr>
    <w:tblStylePr w:type="firstCol">
      <w:rPr>
        <w:color w:val="FFFFFF" w:themeColor="background1"/>
        <w:rFonts w:ascii="Arial" w:hAnsi="Arial" w:eastAsia="Arial" w:cs="Arial"/>
        <w:sz w:val="20"/>
        <w:szCs w:val="20"/>
      </w:rPr>
      <w:tblPr/>
      <w:tcPr>
        <w:shd w:val="clear" w:color="auto" w:fill="31849B" w:themeFill="accent5" w:themeFillShade="BF"/>
      </w:tcPr>
    </w:tblStylePr>
    <w:tblStylePr w:type="lastCol">
      <w:rPr>
        <w:color w:val="FFFFFF" w:themeColor="background1"/>
        <w:rFonts w:ascii="Arial" w:hAnsi="Arial" w:eastAsia="Arial" w:cs="Arial"/>
        <w:sz w:val="20"/>
        <w:szCs w:val="2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Fonts w:ascii="Arial" w:hAnsi="Arial" w:eastAsia="Arial" w:cs="Arial"/>
        <w:sz w:val="20"/>
        <w:szCs w:val="20"/>
      </w:rPr>
      <w:tblPr/>
      <w:tcPr>
        <w:shd w:val="clear" w:color="auto" w:fill="FBD4B4" w:themeFill="accent6" w:themeFillTint="66"/>
      </w:tcPr>
    </w:tblStylePr>
    <w:tblStylePr w:type="lastRow">
      <w:rPr>
        <w:b/>
        <w:bCs/>
        <w:color w:val="000000" w:themeColor="text1"/>
        <w:rFonts w:ascii="Arial" w:hAnsi="Arial" w:eastAsia="Arial" w:cs="Arial"/>
        <w:sz w:val="20"/>
        <w:szCs w:val="20"/>
      </w:rPr>
      <w:tblPr/>
      <w:tcPr>
        <w:shd w:val="clear" w:color="auto" w:fill="FBD4B4" w:themeFill="accent6" w:themeFillTint="66"/>
      </w:tcPr>
    </w:tblStylePr>
    <w:tblStylePr w:type="firstCol">
      <w:rPr>
        <w:color w:val="FFFFFF" w:themeColor="background1"/>
        <w:rFonts w:ascii="Arial" w:hAnsi="Arial" w:eastAsia="Arial" w:cs="Arial"/>
        <w:sz w:val="20"/>
        <w:szCs w:val="20"/>
      </w:rPr>
      <w:tblPr/>
      <w:tcPr>
        <w:shd w:val="clear" w:color="auto" w:fill="E36C0A" w:themeFill="accent6" w:themeFillShade="BF"/>
      </w:tcPr>
    </w:tblStylePr>
    <w:tblStylePr w:type="lastCol">
      <w:rPr>
        <w:color w:val="FFFFFF" w:themeColor="background1"/>
        <w:rFonts w:ascii="Arial" w:hAnsi="Arial" w:eastAsia="Arial" w:cs="Arial"/>
        <w:sz w:val="20"/>
        <w:szCs w:val="2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FootnoteReference">
    <w:name w:val="footnote reference"/>
    <w:uiPriority w:val="99"/>
    <w:unhideWhenUsed/>
    <w:rsid w:val="008F64FC"/>
    <w:rPr>
      <w:vertAlign w:val="superscript"/>
      <w:rFonts w:ascii="Arial" w:hAnsi="Arial" w:eastAsia="Arial" w:cs="Arial"/>
      <w:sz w:val="20"/>
      <w:szCs w:val="20"/>
    </w:rPr>
  </w:style>
  <w:style w:type="paragraph" w:styleId="FootnoteText">
    <w:name w:val="footnote text"/>
    <w:basedOn w:val="Normal"/>
    <w:link w:val="FootnoteTextChar"/>
    <w:uiPriority w:val="99"/>
    <w:unhideWhenUsed/>
    <w:rsid w:val="008F64FC"/>
    <w:pPr>
      <w:spacing w:after="200" w:line="276" w:lineRule="auto"/>
    </w:pPr>
    <w:rPr>
      <w:rFonts w:ascii="Arial" w:hAnsi="Arial" w:eastAsia="Arial" w:cs="Arial"/>
      <w:color w:val="auto"/>
      <w:sz w:val="20"/>
      <w:szCs w:val="20"/>
      <w:lang w:val="en-NA" w:eastAsia="en-GB"/>
    </w:rPr>
  </w:style>
  <w:style w:type="character" w:customStyle="1" w:styleId="FootnoteTextChar">
    <w:name w:val="Footnote Text Char"/>
    <w:basedOn w:val="DefaultParagraphFont"/>
    <w:link w:val="FootnoteText"/>
    <w:uiPriority w:val="99"/>
    <w:rsid w:val="008F64FC"/>
    <w:rPr>
      <w:rFonts w:ascii="Arial" w:hAnsi="Arial" w:eastAsia="Arial" w:cs="Arial"/>
      <w:sz w:val="20"/>
      <w:szCs w:val="20"/>
      <w:lang w:val="en-NA" w:eastAsia="en-GB"/>
    </w:rPr>
  </w:style>
  <w:style w:type="paragraph" w:customStyle="1" w:styleId="Default">
    <w:name w:val="Default"/>
    <w:rsid w:val="008F64FC"/>
    <w:pPr>
      <w:autoSpaceDE w:val="0"/>
      <w:autoSpaceDN w:val="0"/>
      <w:adjustRightInd w:val="0"/>
      <w:spacing w:after="0" w:line="240" w:lineRule="auto"/>
    </w:pPr>
    <w:rPr>
      <w:rFonts w:ascii="Arial" w:hAnsi="Arial" w:eastAsia="Arial" w:cs="Arial"/>
      <w:color w:val="000000"/>
      <w:sz w:val="20"/>
      <w:szCs w:val="20"/>
      <w:lang w:val="en-NA"/>
    </w:rPr>
  </w:style>
  <w:style w:type="paragraph" w:customStyle="1" w:styleId="BodyA">
    <w:name w:val="Body A"/>
    <w:rsid w:val="00885E26"/>
    <w:pPr>
      <w:spacing w:after="100"/>
    </w:pPr>
    <w:rPr>
      <w:rFonts w:ascii="Arial" w:hAnsi="Arial" w:eastAsia="Arial" w:cs="Arial"/>
      <w:color w:val="000000"/>
      <w:sz w:val="20"/>
      <w:szCs w:val="20"/>
      <w:u w:color="000000"/>
    </w:rPr>
  </w:style>
  <w:style w:type="character" w:customStyle="1" w:styleId="None">
    <w:rPr>
      <w:rFonts w:ascii="Arial" w:hAnsi="Arial" w:eastAsia="Arial" w:cs="Arial"/>
      <w:sz w:val="20"/>
      <w:szCs w:val="20"/>
    </w:rPr>
    <w:name w:val="None"/>
    <w:rsid w:val="00885E26"/>
  </w:style>
  <w:style w:type="paragraph" w:customStyle="1" w:styleId="p1">
    <w:name w:val="p1"/>
    <w:basedOn w:val="Normal"/>
    <w:rsid w:val="00885E26"/>
    <w:pPr>
      <w:spacing w:after="0" w:line="240" w:lineRule="auto"/>
    </w:pPr>
    <w:rPr>
      <w:rFonts w:ascii="Arial" w:hAnsi="Arial" w:eastAsia="Arial" w:cs="Arial"/>
      <w:sz w:val="20"/>
      <w:szCs w:val="20"/>
      <w:lang w:val="en-N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hamberofmines.org.na/wp-content/uploads/2024/04/2023-Chamber-of-Mines-Annual-Review.-Final-Web.pdf" TargetMode="External"/><Relationship Id="rId21" Type="http://schemas.openxmlformats.org/officeDocument/2006/relationships/hyperlink" Target="https://unesdoc.unesco.org/ark:/48223/pf0000265552" TargetMode="External"/><Relationship Id="rId34" Type="http://schemas.openxmlformats.org/officeDocument/2006/relationships/hyperlink" Target="https://www.metso.com/globalassets/insights/ebooks/mo-basics-in-mineral-processing-handbook_lowres.pdf" TargetMode="External"/><Relationship Id="rId42" Type="http://schemas.openxmlformats.org/officeDocument/2006/relationships/hyperlink" Target="https://doi.org/10.3390/min11050533" TargetMode="External"/><Relationship Id="rId47" Type="http://schemas.openxmlformats.org/officeDocument/2006/relationships/hyperlink" Target="https://smemi.personifycloud.com/PersonifyEbusiness/Store/SME-Mineral-Processing--Extractive-Metallurgy-Handbook/ProductDetail/2829543" TargetMode="External"/><Relationship Id="rId50" Type="http://schemas.openxmlformats.org/officeDocument/2006/relationships/hyperlink" Target="https://www.iso.org/standard/83054.html" TargetMode="External"/><Relationship Id="rId55" Type="http://schemas.openxmlformats.org/officeDocument/2006/relationships/hyperlink" Target="https://doi.org/10.3390/min11050533" TargetMode="External"/><Relationship Id="rId63" Type="http://schemas.openxmlformats.org/officeDocument/2006/relationships/hyperlink" Target="https://www.mme.gov.na/files/publications/534_MIME%20SP%202025_26%20-%202029_30.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ooks.libreoffice.org/en/GS248/GS24800-Preface.html" TargetMode="External"/><Relationship Id="rId29" Type="http://schemas.openxmlformats.org/officeDocument/2006/relationships/hyperlink" Target="https://chamberofmines.org.na/wp-content/uploads/2024/04/2023-Chamber-of-Mines-Annual-Review.-Final-Web.pdf" TargetMode="External"/><Relationship Id="rId11" Type="http://schemas.openxmlformats.org/officeDocument/2006/relationships/hyperlink" Target="https://www.vanschaiknet.com/wp-content/uploads/2024/04/DIGITAL-CATALOGUE-2023.pdf" TargetMode="External"/><Relationship Id="rId24" Type="http://schemas.openxmlformats.org/officeDocument/2006/relationships/hyperlink" Target="https://the-eis.com/elibrary/sites/default/files/downloads/literature/Best%20Practice%20Guide%20in%20Mining%20Part%204_Mining%20and%20Processing%20Operations_2019.pdf" TargetMode="External"/><Relationship Id="rId32" Type="http://schemas.openxmlformats.org/officeDocument/2006/relationships/hyperlink" Target="https://hub.icmm.com/website/publications/pdfs/environmental-stewardship/2021/guidance_tailings-management.pdf" TargetMode="External"/><Relationship Id="rId37" Type="http://schemas.openxmlformats.org/officeDocument/2006/relationships/hyperlink" Target="https://the-eis.com/elibrary/sites/default/files/downloads/literature/Best%20Practice%20Guide%20in%20Mining%20Part%204_Mining%20and%20Processing%20Operations_2019.pdf" TargetMode="External"/><Relationship Id="rId40" Type="http://schemas.openxmlformats.org/officeDocument/2006/relationships/hyperlink" Target="https://www.metso.com/globalassets/insights/ebooks/mo-basics-in-mineral-processing-handbook_lowres.pdf" TargetMode="External"/><Relationship Id="rId45" Type="http://schemas.openxmlformats.org/officeDocument/2006/relationships/hyperlink" Target="https://hub.icmm.com/website/publications/pdfs/environmental-stewardship/2021/guidance_tailings-management.pdf" TargetMode="External"/><Relationship Id="rId53" Type="http://schemas.openxmlformats.org/officeDocument/2006/relationships/hyperlink" Target="https://smemi.personifycloud.com/PersonifyEbusiness/Store/SME-Mineral-Processing--Extractive-Metallurgy-Handbook/ProductDetail/2829543" TargetMode="External"/><Relationship Id="rId58" Type="http://schemas.openxmlformats.org/officeDocument/2006/relationships/hyperlink" Target="https://regqs.saqa.org.za/viewQualification.php?id=124365"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npc.gov.na/wp-content/uploads/2025/07/NDP6-Booklet.pdf" TargetMode="External"/><Relationship Id="rId19" Type="http://schemas.openxmlformats.org/officeDocument/2006/relationships/hyperlink" Target="https://www.mict.gov.na/documents/869282/1009163/National%2BCyberSecurity%2BStrategy%2Band%2B%2BAwareness%2BRaising%2BPlan%2B2022%2B-%2B2027%2B%2B13%2B10%2B22.pdf/ea059f22-173f-ad8f-47a3-eb29cd0a0ee1" TargetMode="External"/><Relationship Id="rId14" Type="http://schemas.openxmlformats.org/officeDocument/2006/relationships/hyperlink" Target="https://unesdoc.unesco.org/ark:/48223/pf0000265552" TargetMode="External"/><Relationship Id="rId22" Type="http://schemas.openxmlformats.org/officeDocument/2006/relationships/hyperlink" Target="https://www.metso.com/globalassets/insights/ebooks/mo-basics-in-mineral-processing-handbook_lowres.pdf" TargetMode="External"/><Relationship Id="rId27" Type="http://schemas.openxmlformats.org/officeDocument/2006/relationships/hyperlink" Target="https://www.ilo.org/resource/other/code-practice-safety-and-health-opencast-mines" TargetMode="External"/><Relationship Id="rId30" Type="http://schemas.openxmlformats.org/officeDocument/2006/relationships/hyperlink" Target="https://stacks.cdc.gov/view/cdc/76769" TargetMode="External"/><Relationship Id="rId35" Type="http://schemas.openxmlformats.org/officeDocument/2006/relationships/hyperlink" Target="https://smemi.personifycloud.com/PersonifyEbusiness/Store/SME-Mineral-Processing--Extractive-Metallurgy-Handbook/ProductDetail/2829543" TargetMode="External"/><Relationship Id="rId43" Type="http://schemas.openxmlformats.org/officeDocument/2006/relationships/hyperlink" Target="https://the-eis.com/elibrary/sites/default/files/downloads/literature/Best%20Practice%20Guide%20in%20Mining%20Part%204_Mining%20and%20Processing%20Operations_2019.pdf" TargetMode="External"/><Relationship Id="rId48" Type="http://schemas.openxmlformats.org/officeDocument/2006/relationships/hyperlink" Target="https://the-eis.com/elibrary/sites/default/files/downloads/literature/Best%20Practice%20Guide%20in%20Mining%20Part%204_Mining%20and%20Processing%20Operations_2019.pdf" TargetMode="External"/><Relationship Id="rId56" Type="http://schemas.openxmlformats.org/officeDocument/2006/relationships/hyperlink" Target="https://chamberofmines.org.na/wp-content/uploads/2024/04/2023-Chamber-of-Mines-Annual-Review.-Final-Web.pdf" TargetMode="External"/><Relationship Id="rId64" Type="http://schemas.openxmlformats.org/officeDocument/2006/relationships/hyperlink" Target="https://meft.gov.na/files/downloads/749_Enivronmental%20Management%20Act%202007.pdf" TargetMode="External"/><Relationship Id="rId8" Type="http://schemas.openxmlformats.org/officeDocument/2006/relationships/image" Target="media/image1.jpg"/><Relationship Id="rId51" Type="http://schemas.openxmlformats.org/officeDocument/2006/relationships/hyperlink" Target="https://stacks.cdc.gov/view/cdc/76769" TargetMode="External"/><Relationship Id="rId3" Type="http://schemas.openxmlformats.org/officeDocument/2006/relationships/styles" Target="styles.xml"/><Relationship Id="rId12" Type="http://schemas.openxmlformats.org/officeDocument/2006/relationships/hyperlink" Target="https://openlibrary-repo.ecampusontario.ca/jspui/bitstream/123456789/557/15/Communication-at-Work-1550774380._print.pdf" TargetMode="External"/><Relationship Id="rId17" Type="http://schemas.openxmlformats.org/officeDocument/2006/relationships/hyperlink" Target="https://www.unesco.org/en/articles/ai-competency-framework-students" TargetMode="External"/><Relationship Id="rId25" Type="http://schemas.openxmlformats.org/officeDocument/2006/relationships/hyperlink" Target="https://doi.org/10.3390/min11050533" TargetMode="External"/><Relationship Id="rId33" Type="http://schemas.openxmlformats.org/officeDocument/2006/relationships/hyperlink" Target="https://www.metso.com/globalassets/insights/ebooks/mo-basics-in-mineral-processing-handbook_lowres.pdf" TargetMode="External"/><Relationship Id="rId38" Type="http://schemas.openxmlformats.org/officeDocument/2006/relationships/hyperlink" Target="https://mdpi-res.com/bookfiles/book/4263/Comminution_in_the_Minerals_Industry.pdf?v=1737857030" TargetMode="External"/><Relationship Id="rId46" Type="http://schemas.openxmlformats.org/officeDocument/2006/relationships/hyperlink" Target="https://www.metso.com/globalassets/insights/ebooks/mo-basics-in-mineral-processing-handbook_lowres.pdf" TargetMode="External"/><Relationship Id="rId59" Type="http://schemas.openxmlformats.org/officeDocument/2006/relationships/hyperlink" Target="https://www.oranjemund-tc.com/page/about-us/" TargetMode="External"/><Relationship Id="rId20" Type="http://schemas.openxmlformats.org/officeDocument/2006/relationships/hyperlink" Target="https://www.gov.za/sites/default/files/gcis_document/202009/43730gen513.pdf" TargetMode="External"/><Relationship Id="rId41" Type="http://schemas.openxmlformats.org/officeDocument/2006/relationships/hyperlink" Target="https://smemi.personifycloud.com/PersonifyEbusiness/Store/SME-Mineral-Processing--Extractive-Metallurgy-Handbook/ProductDetail/2829543" TargetMode="External"/><Relationship Id="rId54" Type="http://schemas.openxmlformats.org/officeDocument/2006/relationships/hyperlink" Target="https://the-eis.com/elibrary/sites/default/files/downloads/literature/Best%20Practice%20Guide%20in%20Mining%20Part%204_Mining%20and%20Processing%20Operations_2019.pdf" TargetMode="External"/><Relationship Id="rId62" Type="http://schemas.openxmlformats.org/officeDocument/2006/relationships/hyperlink" Target="https://op.gov.na/documents/1697384/6465069/NDP6-Policy-Document.pdf/c4046436-f16c-ba9e-33d6-3263485e3522?t=175318978146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cielo.org.za/scielo.php?pid=S2957-79502025000300002&amp;script=sci_arttext" TargetMode="External"/><Relationship Id="rId23" Type="http://schemas.openxmlformats.org/officeDocument/2006/relationships/hyperlink" Target="https://smemi.personifycloud.com/PersonifyEbusiness/Store/SME-Mineral-Processing--Extractive-Metallurgy-Handbook/ProductDetail/2829543" TargetMode="External"/><Relationship Id="rId28" Type="http://schemas.openxmlformats.org/officeDocument/2006/relationships/hyperlink" Target="https://the-eis.com/elibrary/sites/default/files/downloads/literature/Best%20Practice%20Guide%20in%20Mining%20Part%204_Mining%20and%20Processing%20Operations_2019.pdf" TargetMode="External"/><Relationship Id="rId36" Type="http://schemas.openxmlformats.org/officeDocument/2006/relationships/hyperlink" Target="https://doi.org/10.3390/min11050533" TargetMode="External"/><Relationship Id="rId49" Type="http://schemas.openxmlformats.org/officeDocument/2006/relationships/hyperlink" Target="https://chamberofmines.org.na/wp-content/uploads/2024/04/2023-Chamber-of-Mines-Annual-Review.-Final-Web.pdf" TargetMode="External"/><Relationship Id="rId57" Type="http://schemas.openxmlformats.org/officeDocument/2006/relationships/hyperlink" Target="https://www.ilo.org/resource/other/code-practice-safety-and-health-opencast-mines" TargetMode="External"/><Relationship Id="rId10" Type="http://schemas.openxmlformats.org/officeDocument/2006/relationships/hyperlink" Target="https://www.vanschaiknet.com/catalogue/communicating-work/" TargetMode="External"/><Relationship Id="rId31" Type="http://schemas.openxmlformats.org/officeDocument/2006/relationships/hyperlink" Target="https://www.ilo.org/resource/other/code-practice-safety-and-health-opencast-mines" TargetMode="External"/><Relationship Id="rId44" Type="http://schemas.openxmlformats.org/officeDocument/2006/relationships/hyperlink" Target="https://chamberofmines.org.na/wp-content/uploads/2024/04/2023-Chamber-of-Mines-Annual-Review.-Final-Web.pdf" TargetMode="External"/><Relationship Id="rId52" Type="http://schemas.openxmlformats.org/officeDocument/2006/relationships/hyperlink" Target="https://www.metso.com/globalassets/insights/ebooks/mo-basics-in-mineral-processing-handbook_lowres.pdf" TargetMode="External"/><Relationship Id="rId60" Type="http://schemas.openxmlformats.org/officeDocument/2006/relationships/hyperlink" Target="https://www.npc.gov.na/wp-content/uploads/2021/11/vision_2030.pdf"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openstax.org/books/writing-guide/pages/1-unit-introduction" TargetMode="External"/><Relationship Id="rId18" Type="http://schemas.openxmlformats.org/officeDocument/2006/relationships/hyperlink" Target="https://www.unesco.org/en/articles/guidance-generative-ai-education-and-research" TargetMode="External"/><Relationship Id="rId39" Type="http://schemas.openxmlformats.org/officeDocument/2006/relationships/hyperlink" Target="https://stacks.cdc.gov/view/cdc/76769" TargetMode="External"/><Relationship Id="rId67" Type="http://schemas.openxmlformats.org/officeDocument/2006/relationships/hyperlink" Target="https://www.irena.org/Publications/2020/Dec/Green-hydrogen-cost-reduction" TargetMode="External"/><Relationship Id="rId68" Type="http://schemas.openxmlformats.org/officeDocument/2006/relationships/hyperlink" Target="https://www.iea.org/energy-system/lowemission-fuels/electrolysers" TargetMode="External"/><Relationship Id="rId69" Type="http://schemas.openxmlformats.org/officeDocument/2006/relationships/hyperlink" Target="https://www.energy.gov/cmei/fuels/hydrogen-safe" TargetMode="External"/><Relationship Id="rId70" Type="http://schemas.openxmlformats.org/officeDocument/2006/relationships/hyperlink" Target="https://gh2namibia.com/media-and-downloads/" TargetMode="External"/><Relationship Id="rId71" Type="http://schemas.openxmlformats.org/officeDocument/2006/relationships/hyperlink" Target="https://www.dsti.gov.za/images/South_African_Hydrogen_Society_RoadmapV1.pdf" TargetMode="External"/><Relationship Id="rId72" Type="http://schemas.openxmlformats.org/officeDocument/2006/relationships/hyperlink" Target="https://www.irena.org/publications/2020/Dec/Green-hydrogen-cost-reduction" TargetMode="External"/><Relationship Id="rId73" Type="http://schemas.openxmlformats.org/officeDocument/2006/relationships/hyperlink" Target="https://www.energy.gov/sites/default/files/2024-12/hydrogen-shot-water-electrolysis-technology-assessment.pdf" TargetMode="External"/><Relationship Id="rId74" Type="http://schemas.openxmlformats.org/officeDocument/2006/relationships/hyperlink" Target="https://drop.sun.ac.za/files/2023/07/2023-06-29-A-Regulatory-Framework-for-Green-Hydrogen-Production-in-Namibia-Final-Soft-Copy-version.pdf" TargetMode="External"/><Relationship Id="rId75" Type="http://schemas.openxmlformats.org/officeDocument/2006/relationships/hyperlink" Target="https://www.clean-hydrogen.europa.eu/document/download/9c5de0bc-2871-4849-8491-e1ab9ff5a751_en?filename=EHSP-Guidance-on-Hydrogen_Safety_Engineering_Guidance_document-2026.pdf" TargetMode="External"/><Relationship Id="rId7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22</Pages>
  <Words>5479</Words>
  <Characters>31232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Certificate in Mineral Processing Operations Level 4 Qualification Structure</vt:lpstr>
    </vt:vector>
  </TitlesOfParts>
  <Manager/>
  <Company/>
  <LinksUpToDate>false</LinksUpToDate>
  <CharactersWithSpaces>36638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Qualification Structure - Diploma in Green Hydrogen Operations (Level 5)</dc:title>
  <dc:subject>Proposed qualification structure; not evidence of regulatory approval</dc:subject>
  <dc:creator>Oranjemund College</dc:creator>
  <cp:keywords>proposed; academic and industry validation; 80 credits; eight modules</cp:keywords>
  <dc:description>generated by python-docx</dc:description>
  <cp:lastModifiedBy>Oranjemund College</cp:lastModifiedBy>
  <cp:revision>19</cp:revision>
  <dcterms:created xsi:type="dcterms:W3CDTF">2013-12-23T23:15:00Z</dcterms:created>
  <dcterms:modified xsi:type="dcterms:W3CDTF">2026-10-28T21:56:00Z</dcterms:modified>
  <cp:category/>
</cp:coreProperties>
</file>