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A255F2" w14:textId="20CF6E46" w:rsidR="00C65B51" w:rsidRPr="008B6C93" w:rsidRDefault="00885E26">
      <w:pPr>
        <w:spacing w:before="0" w:after="120"/>
        <w:jc w:val="center"/>
        <w:rPr>
          <w:rFonts w:ascii="Arial" w:hAnsi="Arial" w:eastAsia="Arial" w:cs="Arial"/>
          <w:sz w:val="20"/>
          <w:szCs w:val="20"/>
        </w:rPr>
      </w:pPr>
      <w:r w:rsidRPr="008B6C93">
        <w:rPr>
          <w:rFonts w:ascii="Arial" w:hAnsi="Arial" w:eastAsia="Arial" w:cs="Arial"/>
          <w:noProof/>
          <w:sz w:val="20"/>
          <w:szCs w:val="20"/>
        </w:rPr>
        <w:drawing>
          <wp:inline distT="0" distB="0" distL="0" distR="0" wp14:anchorId="50C627BB" wp14:editId="3EA0226C">
            <wp:extent cx="1816100" cy="1816100"/>
            <wp:effectExtent l="0" t="0" r="0" b="0"/>
            <wp:docPr id="217480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80970" name=""/>
                    <pic:cNvPicPr/>
                  </pic:nvPicPr>
                  <pic:blipFill>
                    <a:blip r:embed="rId8"/>
                    <a:stretch>
                      <a:fillRect/>
                    </a:stretch>
                  </pic:blipFill>
                  <pic:spPr>
                    <a:xfrm>
                      <a:off x="0" y="0"/>
                      <a:ext cx="1816100" cy="1816100"/>
                    </a:xfrm>
                    <a:prstGeom prst="rect">
                      <a:avLst/>
                    </a:prstGeom>
                  </pic:spPr>
                </pic:pic>
              </a:graphicData>
            </a:graphic>
          </wp:inline>
        </w:drawing>
      </w:r>
    </w:p>
    <w:p w14:paraId="4DC8069F" w14:textId="73822B24" w:rsidR="00C65B51" w:rsidRPr="008B6C93" w:rsidRDefault="00000000">
      <w:pPr>
        <w:pStyle w:val="Title"/>
        <w:spacing w:before="0" w:after="120"/>
        <w:jc w:val="center"/>
        <w:rPr>
          <w:rFonts w:ascii="Arial" w:hAnsi="Arial" w:eastAsia="Arial" w:cs="Arial"/>
          <w:b w:val="0"/>
          <w:sz w:val="20"/>
          <w:szCs w:val="20"/>
        </w:rPr>
      </w:pPr>
      <w:r w:rsidRPr="008B6C93">
        <w:rPr>
          <w:rFonts w:ascii="Arial" w:hAnsi="Arial" w:eastAsia="Arial" w:cs="Arial"/>
          <w:b w:val="0"/>
          <w:sz w:val="20"/>
          <w:szCs w:val="20"/>
        </w:rPr>
        <w:t>Oranjemund College</w:t>
      </w:r>
    </w:p>
    <w:p w14:paraId="6805B60F" w14:textId="63BDF884" w:rsidR="008F64FC" w:rsidRPr="008B6C93" w:rsidRDefault="008F64FC" w:rsidP="008F64FC">
      <w:pPr>
        <w:spacing w:before="0" w:after="120"/>
        <w:jc w:val="center"/>
        <w:rPr>
          <w:rFonts w:ascii="Arial" w:hAnsi="Arial" w:eastAsia="Arial" w:cs="Arial"/>
          <w:sz w:val="20"/>
          <w:szCs w:val="20"/>
        </w:rPr>
      </w:pPr>
      <w:r>
        <w:rPr>
          <w:rFonts w:ascii="Arial" w:hAnsi="Arial" w:eastAsia="Arial" w:cs="Arial"/>
          <w:sz w:val="20"/>
          <w:szCs w:val="20"/>
        </w:rPr>
        <w:t>Diploma in Local Governance and Municipal Administration (Level 5)</w:t>
      </w:r>
    </w:p>
    <w:p w14:paraId="0DB2D636" w14:textId="77777777" w:rsidR="00C65B51" w:rsidRPr="008B6C93" w:rsidRDefault="00000000">
      <w:pPr>
        <w:pStyle w:val="Subtitle"/>
        <w:spacing w:before="0" w:after="120"/>
        <w:jc w:val="center"/>
        <w:rPr>
          <w:rFonts w:ascii="Arial" w:hAnsi="Arial" w:eastAsia="Arial" w:cs="Arial"/>
          <w:sz w:val="20"/>
          <w:szCs w:val="20"/>
        </w:rPr>
      </w:pPr>
      <w:r w:rsidRPr="008B6C93">
        <w:rPr>
          <w:rFonts w:ascii="Arial" w:hAnsi="Arial" w:eastAsia="Arial" w:cs="Arial"/>
          <w:sz w:val="20"/>
          <w:szCs w:val="20"/>
        </w:rPr>
        <w:t>Qualification Structure</w:t>
      </w:r>
    </w:p>
    <w:tbl>
      <w:tblPr>
        <w:tblW w:w="978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39"/>
        <w:gridCol w:w="2694"/>
        <w:gridCol w:w="2948"/>
      </w:tblGrid>
      <w:tr w:rsidR="008F64FC" w:rsidRPr="008B6C93" w14:paraId="1038B9DF" w14:textId="77777777" w:rsidTr="00373D14">
        <w:trPr/>
        <w:tc>
          <w:tcPr>
            <w:tcW w:w="9781" w:type="dxa"/>
            <w:gridSpan w:val="3"/>
            <w:tcBorders>
              <w:top w:val="single" w:sz="4" w:space="0" w:color="501549"/>
              <w:left w:val="single" w:sz="4" w:space="0" w:color="501549"/>
              <w:bottom w:val="single" w:sz="4" w:space="0" w:color="501549"/>
              <w:right w:val="single" w:sz="4" w:space="0" w:color="501549"/>
            </w:tcBorders>
            <w:vAlign w:val="top"/>
          </w:tcPr>
          <w:p>
            <w:pPr>
              <w:spacing w:before="40" w:after="40" w:line="240" w:lineRule="auto"/>
              <w:jc w:val="left"/>
            </w:pPr>
            <w:r>
              <w:rPr>
                <w:rFonts w:ascii="Arial" w:hAnsi="Arial" w:eastAsia="Arial" w:cs="Arial"/>
                <w:b w:val="0"/>
                <w:sz w:val="20"/>
                <w:szCs w:val="20"/>
              </w:rPr>
              <w:t>Diploma in Local Governance and Municipal Administration (Level 5)</w:t>
            </w:r>
          </w:p>
        </w:tc>
      </w:tr>
      <w:tr w:rsidR="008F64FC" w:rsidRPr="008B6C93" w14:paraId="372686C7" w14:textId="77777777" w:rsidTr="00373D14">
        <w:trPr/>
        <w:tc>
          <w:tcPr>
            <w:tcW w:w="4139" w:type="dxa"/>
            <w:tcBorders>
              <w:top w:val="single" w:sz="4" w:space="0" w:color="501549"/>
              <w:left w:val="nil"/>
              <w:bottom w:val="nil"/>
              <w:right w:val="nil"/>
            </w:tcBorders>
            <w:vAlign w:val="top"/>
          </w:tcPr>
          <w:p w14:paraId="6B3F5FE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694" w:type="dxa"/>
            <w:tcBorders>
              <w:top w:val="single" w:sz="4" w:space="0" w:color="501549"/>
              <w:left w:val="nil"/>
              <w:bottom w:val="nil"/>
              <w:right w:val="nil"/>
            </w:tcBorders>
            <w:vAlign w:val="top"/>
          </w:tcPr>
          <w:p w14:paraId="794FDE9C"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c>
          <w:tcPr>
            <w:tcW w:w="2948" w:type="dxa"/>
            <w:tcBorders>
              <w:top w:val="single" w:sz="4" w:space="0" w:color="501549"/>
              <w:left w:val="nil"/>
              <w:bottom w:val="nil"/>
              <w:right w:val="nil"/>
            </w:tcBorders>
            <w:vAlign w:val="top"/>
          </w:tcPr>
          <w:p w14:paraId="081C0CDF" w14:textId="77777777" w:rsidR="008F64FC" w:rsidRPr="008B6C93" w:rsidRDefault="008F64FC" w:rsidP="008862B1">
            <w:pPr>
              <w:pStyle w:val="Default"/>
              <w:spacing w:line="240" w:lineRule="auto" w:before="40" w:after="40"/>
              <w:contextualSpacing/>
              <w:rPr>
                <w:rFonts w:ascii="Arial" w:hAnsi="Arial" w:eastAsia="Arial" w:cs="Arial"/>
                <w:sz w:val="20"/>
                <w:szCs w:val="20"/>
                <w:lang w:val="en-US"/>
              </w:rPr>
            </w:pPr>
          </w:p>
        </w:tc>
      </w:tr>
      <w:tr w:rsidR="008F64FC" w:rsidRPr="008B6C93" w14:paraId="6789A94B" w14:textId="77777777" w:rsidTr="00373D14">
        <w:trPr/>
        <w:tc>
          <w:tcPr>
            <w:tcW w:w="4139" w:type="dxa"/>
            <w:tcBorders>
              <w:top w:val="nil"/>
              <w:left w:val="nil"/>
              <w:bottom w:val="nil"/>
              <w:right w:val="nil"/>
            </w:tcBorders>
            <w:vAlign w:val="top"/>
          </w:tcPr>
          <w:p w14:paraId="5C0D49DF"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Field:</w:t>
            </w:r>
            <w:r w:rsidRPr="008B6C93">
              <w:rPr>
                <w:rStyle w:val="FootnoteReference"/>
                <w:rFonts w:ascii="Arial" w:hAnsi="Arial" w:eastAsia="Arial" w:cs="Arial"/>
                <w:sz w:val="20"/>
                <w:szCs w:val="20"/>
              </w:rPr>
              <w:footnoteReference w:id="1"/>
            </w:r>
            <w:r w:rsidRPr="008B6C93">
              <w:rPr>
                <w:rFonts w:ascii="Arial" w:hAnsi="Arial" w:eastAsia="Arial" w:cs="Arial"/>
                <w:sz w:val="20"/>
                <w:szCs w:val="20"/>
              </w:rPr>
              <w:t xml:space="preserve"> </w:t>
            </w:r>
            <w:r w:rsidRPr="008B6C93">
              <w:rPr>
                <w:rFonts w:ascii="Arial" w:hAnsi="Arial" w:eastAsia="Arial" w:cs="Arial"/>
                <w:sz w:val="20"/>
                <w:szCs w:val="20"/>
              </w:rPr>
              <w:tab/>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Business, Commerce and Management Studies</w:t>
            </w:r>
          </w:p>
        </w:tc>
      </w:tr>
      <w:tr w:rsidR="008F64FC" w:rsidRPr="008B6C93" w14:paraId="196F940D" w14:textId="77777777" w:rsidTr="00373D14">
        <w:trPr/>
        <w:tc>
          <w:tcPr>
            <w:tcW w:w="4139" w:type="dxa"/>
            <w:tcBorders>
              <w:top w:val="nil"/>
              <w:left w:val="nil"/>
              <w:bottom w:val="nil"/>
              <w:right w:val="nil"/>
            </w:tcBorders>
            <w:vAlign w:val="top"/>
          </w:tcPr>
          <w:p w14:paraId="27309244" w14:textId="77777777"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Qualification Code:</w:t>
            </w:r>
            <w:r w:rsidRPr="008B6C93">
              <w:rPr>
                <w:rStyle w:val="FootnoteReference"/>
                <w:rFonts w:ascii="Arial" w:hAnsi="Arial" w:eastAsia="Arial" w:cs="Arial"/>
                <w:sz w:val="20"/>
                <w:szCs w:val="20"/>
              </w:rPr>
              <w:footnoteReference w:id="2"/>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OCOL-5026</w:t>
            </w:r>
          </w:p>
        </w:tc>
        <w:tc>
          <w:tcPr>
            <w:tcW w:w="2948" w:type="dxa"/>
            <w:tcBorders>
              <w:top w:val="nil"/>
              <w:left w:val="nil"/>
              <w:bottom w:val="nil"/>
              <w:right w:val="nil"/>
            </w:tcBorders>
            <w:vAlign w:val="top"/>
          </w:tcPr>
          <w:p w14:paraId="6A56A7C8"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0A0C7629" w14:textId="77777777" w:rsidTr="00373D14">
        <w:trPr/>
        <w:tc>
          <w:tcPr>
            <w:tcW w:w="4139" w:type="dxa"/>
            <w:tcBorders>
              <w:top w:val="nil"/>
              <w:left w:val="nil"/>
              <w:bottom w:val="nil"/>
              <w:right w:val="nil"/>
            </w:tcBorders>
            <w:vAlign w:val="top"/>
          </w:tcPr>
          <w:p w14:paraId="7E59DD18" w14:textId="6EFE09AC" w:rsidR="008F64FC" w:rsidRPr="008B6C93" w:rsidRDefault="008F64FC" w:rsidP="008862B1">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NQF registration ID:</w:t>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Not yet assigned</w:t>
            </w:r>
          </w:p>
        </w:tc>
        <w:tc>
          <w:tcPr>
            <w:tcW w:w="2948" w:type="dxa"/>
            <w:tcBorders>
              <w:top w:val="nil"/>
              <w:left w:val="nil"/>
              <w:bottom w:val="nil"/>
              <w:right w:val="nil"/>
            </w:tcBorders>
            <w:vAlign w:val="top"/>
          </w:tcPr>
          <w:p w14:paraId="53B60C8E" w14:textId="77777777" w:rsidR="008F64FC" w:rsidRPr="008B6C93" w:rsidRDefault="008F64FC" w:rsidP="00091C17">
            <w:pPr>
              <w:tabs>
                <w:tab w:val="left" w:pos="3970"/>
                <w:tab w:val="left" w:pos="6237"/>
              </w:tabs>
              <w:spacing w:line="240" w:lineRule="auto" w:before="40" w:after="40"/>
              <w:contextualSpacing/>
              <w:jc w:val="both"/>
              <w:rPr>
                <w:rFonts w:ascii="Arial" w:hAnsi="Arial" w:eastAsia="Arial" w:cs="Arial"/>
                <w:sz w:val="20"/>
                <w:szCs w:val="20"/>
              </w:rPr>
            </w:pPr>
          </w:p>
        </w:tc>
      </w:tr>
      <w:tr w:rsidR="008F64FC" w:rsidRPr="008B6C93" w14:paraId="7AB93721" w14:textId="77777777" w:rsidTr="00373D14">
        <w:trPr/>
        <w:tc>
          <w:tcPr>
            <w:tcW w:w="4139" w:type="dxa"/>
            <w:tcBorders>
              <w:top w:val="nil"/>
              <w:left w:val="nil"/>
              <w:bottom w:val="nil"/>
              <w:right w:val="nil"/>
            </w:tcBorders>
            <w:vAlign w:val="top"/>
          </w:tcPr>
          <w:p w14:paraId="1673DA21" w14:textId="554FBF3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Duration and delivery</w:t>
            </w:r>
          </w:p>
        </w:tc>
        <w:tc>
          <w:tcPr>
            <w:tcW w:w="5642" w:type="dxa"/>
            <w:gridSpan w:val="2"/>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Full-time: one academic year, two semesters. Part-time: extended calendar with the same 120 credits and 1,200 notional hours. Full-time, part-time or blended delivery. Online teaching may support suitable learning; assessed practical and simulation activities remain supervised.</w:t>
            </w:r>
          </w:p>
        </w:tc>
      </w:tr>
      <w:tr w:rsidR="008F64FC" w:rsidRPr="008B6C93" w14:paraId="0125F763" w14:textId="77777777" w:rsidTr="00373D14">
        <w:trPr/>
        <w:tc>
          <w:tcPr>
            <w:tcW w:w="4139" w:type="dxa"/>
            <w:tcBorders>
              <w:top w:val="nil"/>
              <w:left w:val="nil"/>
              <w:bottom w:val="nil"/>
              <w:right w:val="nil"/>
            </w:tcBorders>
            <w:vAlign w:val="top"/>
          </w:tcPr>
          <w:p w14:paraId="2E84EDDE" w14:textId="3BB53686"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Campus</w:t>
            </w:r>
          </w:p>
        </w:tc>
        <w:tc>
          <w:tcPr>
            <w:tcW w:w="5642" w:type="dxa"/>
            <w:gridSpan w:val="2"/>
            <w:tcBorders>
              <w:top w:val="nil"/>
              <w:left w:val="nil"/>
              <w:bottom w:val="nil"/>
              <w:right w:val="nil"/>
            </w:tcBorders>
            <w:vAlign w:val="top"/>
          </w:tcPr>
          <w:p w14:paraId="4C58AE5D" w14:textId="59348FDF" w:rsidR="008F64FC" w:rsidRPr="008B6C93" w:rsidRDefault="008F64FC" w:rsidP="00091C17">
            <w:pPr>
              <w:spacing w:before="40" w:after="40" w:line="240" w:lineRule="auto"/>
              <w:jc w:val="both"/>
              <w:rPr>
                <w:rFonts w:ascii="Arial" w:hAnsi="Arial" w:eastAsia="Arial" w:cs="Arial"/>
                <w:sz w:val="20"/>
                <w:szCs w:val="20"/>
              </w:rPr>
            </w:pPr>
            <w:r w:rsidRPr="008B6C93">
              <w:rPr>
                <w:rFonts w:ascii="Arial" w:hAnsi="Arial" w:eastAsia="Arial" w:cs="Arial"/>
                <w:sz w:val="20"/>
                <w:szCs w:val="20"/>
              </w:rPr>
              <w:t>Oranjemund, //Kharas Region, Namibia</w:t>
            </w:r>
          </w:p>
        </w:tc>
      </w:tr>
      <w:tr w:rsidR="008F64FC" w:rsidRPr="008B6C93" w14:paraId="62551673" w14:textId="77777777" w:rsidTr="00373D14">
        <w:trPr/>
        <w:tc>
          <w:tcPr>
            <w:tcW w:w="4139" w:type="dxa"/>
            <w:tcBorders>
              <w:top w:val="nil"/>
              <w:left w:val="nil"/>
              <w:bottom w:val="nil"/>
              <w:right w:val="nil"/>
            </w:tcBorders>
            <w:vAlign w:val="top"/>
          </w:tcPr>
          <w:p w14:paraId="688F7BE1"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Level of qualification:</w:t>
            </w:r>
            <w:r w:rsidRPr="008B6C93">
              <w:rPr>
                <w:rStyle w:val="FootnoteReference"/>
                <w:rFonts w:ascii="Arial" w:hAnsi="Arial" w:eastAsia="Arial" w:cs="Arial"/>
                <w:sz w:val="20"/>
                <w:szCs w:val="20"/>
              </w:rPr>
              <w:footnoteReference w:id="3"/>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5</w:t>
            </w:r>
          </w:p>
        </w:tc>
        <w:tc>
          <w:tcPr>
            <w:tcW w:w="2948" w:type="dxa"/>
            <w:tcBorders>
              <w:top w:val="nil"/>
              <w:left w:val="nil"/>
              <w:bottom w:val="nil"/>
              <w:right w:val="nil"/>
            </w:tcBorders>
            <w:vAlign w:val="top"/>
          </w:tcPr>
          <w:p w14:paraId="33CD341D"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266D0A72" w14:textId="77777777" w:rsidTr="00373D14">
        <w:trPr/>
        <w:tc>
          <w:tcPr>
            <w:tcW w:w="4139" w:type="dxa"/>
            <w:tcBorders>
              <w:top w:val="nil"/>
              <w:left w:val="nil"/>
              <w:bottom w:val="nil"/>
              <w:right w:val="nil"/>
            </w:tcBorders>
            <w:vAlign w:val="top"/>
          </w:tcPr>
          <w:p w14:paraId="754B126A"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available:</w:t>
            </w:r>
            <w:r w:rsidRPr="008B6C93">
              <w:rPr>
                <w:rStyle w:val="FootnoteReference"/>
                <w:rFonts w:ascii="Arial" w:hAnsi="Arial" w:eastAsia="Arial" w:cs="Arial"/>
                <w:sz w:val="20"/>
                <w:szCs w:val="20"/>
              </w:rPr>
              <w:footnoteReference w:id="4"/>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2FBDFBA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102BBC9A" w14:textId="77777777" w:rsidTr="00373D14">
        <w:trPr/>
        <w:tc>
          <w:tcPr>
            <w:tcW w:w="4139" w:type="dxa"/>
            <w:tcBorders>
              <w:top w:val="nil"/>
              <w:left w:val="nil"/>
              <w:bottom w:val="nil"/>
              <w:right w:val="nil"/>
            </w:tcBorders>
            <w:vAlign w:val="top"/>
          </w:tcPr>
          <w:p w14:paraId="40366EC9"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r w:rsidRPr="008B6C93">
              <w:rPr>
                <w:rFonts w:ascii="Arial" w:hAnsi="Arial" w:eastAsia="Arial" w:cs="Arial"/>
                <w:sz w:val="20"/>
                <w:szCs w:val="20"/>
              </w:rPr>
              <w:t>Total credits required:</w:t>
            </w:r>
            <w:r w:rsidRPr="008B6C93">
              <w:rPr>
                <w:rStyle w:val="FootnoteReference"/>
                <w:rFonts w:ascii="Arial" w:hAnsi="Arial" w:eastAsia="Arial" w:cs="Arial"/>
                <w:sz w:val="20"/>
                <w:szCs w:val="20"/>
              </w:rPr>
              <w:footnoteReference w:id="5"/>
            </w:r>
          </w:p>
        </w:tc>
        <w:tc>
          <w:tcPr>
            <w:tcW w:w="2694" w:type="dxa"/>
            <w:tcBorders>
              <w:top w:val="nil"/>
              <w:left w:val="nil"/>
              <w:bottom w:val="nil"/>
              <w:right w:val="nil"/>
            </w:tcBorders>
            <w:vAlign w:val="top"/>
          </w:tcPr>
          <w:p>
            <w:pPr>
              <w:spacing w:before="40" w:after="40" w:line="240" w:lineRule="auto"/>
              <w:jc w:val="left"/>
            </w:pPr>
            <w:r>
              <w:rPr>
                <w:rFonts w:ascii="Arial" w:hAnsi="Arial" w:eastAsia="Arial" w:cs="Arial"/>
                <w:b w:val="0"/>
                <w:sz w:val="20"/>
                <w:szCs w:val="20"/>
              </w:rPr>
              <w:t>120</w:t>
            </w:r>
          </w:p>
        </w:tc>
        <w:tc>
          <w:tcPr>
            <w:tcW w:w="2948" w:type="dxa"/>
            <w:tcBorders>
              <w:top w:val="nil"/>
              <w:left w:val="nil"/>
              <w:bottom w:val="nil"/>
              <w:right w:val="nil"/>
            </w:tcBorders>
            <w:vAlign w:val="top"/>
          </w:tcPr>
          <w:p w14:paraId="07E25035"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p>
        </w:tc>
      </w:tr>
      <w:tr w:rsidR="008F64FC" w:rsidRPr="008B6C93" w14:paraId="50774F81" w14:textId="77777777" w:rsidTr="00373D14">
        <w:trPr/>
        <w:tc>
          <w:tcPr>
            <w:tcW w:w="4139" w:type="dxa"/>
            <w:tcBorders>
              <w:top w:val="nil"/>
              <w:left w:val="nil"/>
              <w:bottom w:val="nil"/>
              <w:right w:val="nil"/>
            </w:tcBorders>
            <w:vAlign w:val="top"/>
          </w:tcPr>
          <w:p w14:paraId="78EF250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694" w:type="dxa"/>
            <w:tcBorders>
              <w:top w:val="nil"/>
              <w:left w:val="nil"/>
              <w:bottom w:val="single" w:sz="4" w:space="0" w:color="auto"/>
              <w:right w:val="nil"/>
            </w:tcBorders>
            <w:vAlign w:val="top"/>
          </w:tcPr>
          <w:p w14:paraId="096C0D8B"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c>
          <w:tcPr>
            <w:tcW w:w="2948" w:type="dxa"/>
            <w:tcBorders>
              <w:top w:val="nil"/>
              <w:left w:val="nil"/>
              <w:bottom w:val="single" w:sz="4" w:space="0" w:color="auto"/>
              <w:right w:val="nil"/>
            </w:tcBorders>
            <w:vAlign w:val="top"/>
          </w:tcPr>
          <w:p w14:paraId="11504BC4" w14:textId="77777777" w:rsidR="008F64FC" w:rsidRPr="008B6C93" w:rsidRDefault="008F64FC" w:rsidP="008F64FC">
            <w:pPr>
              <w:pStyle w:val="Default"/>
              <w:spacing w:line="240" w:lineRule="auto" w:before="40" w:after="40"/>
              <w:contextualSpacing/>
              <w:rPr>
                <w:rFonts w:ascii="Arial" w:hAnsi="Arial" w:eastAsia="Arial" w:cs="Arial"/>
                <w:sz w:val="20"/>
                <w:szCs w:val="20"/>
                <w:lang w:val="en-US"/>
              </w:rPr>
            </w:pPr>
          </w:p>
        </w:tc>
      </w:tr>
      <w:tr w:rsidR="008F64FC" w:rsidRPr="008B6C93" w14:paraId="70229A20" w14:textId="77777777" w:rsidTr="00373D14">
        <w:trPr/>
        <w:tc>
          <w:tcPr>
            <w:tcW w:w="4139" w:type="dxa"/>
            <w:tcBorders>
              <w:top w:val="nil"/>
              <w:left w:val="nil"/>
            </w:tcBorders>
            <w:vAlign w:val="top"/>
          </w:tcPr>
          <w:p w14:paraId="0C31F5A3" w14:textId="77777777" w:rsidR="008F64FC" w:rsidRPr="008B6C93" w:rsidRDefault="008F64FC" w:rsidP="008F64FC">
            <w:pPr>
              <w:spacing w:line="240" w:lineRule="auto" w:before="40" w:after="40"/>
              <w:ind w:hanging="114"/>
              <w:contextualSpacing/>
              <w:jc w:val="both"/>
              <w:rPr>
                <w:rFonts w:ascii="Arial" w:hAnsi="Arial" w:eastAsia="Arial" w:cs="Arial"/>
                <w:sz w:val="20"/>
                <w:szCs w:val="20"/>
              </w:rPr>
            </w:pPr>
          </w:p>
        </w:tc>
        <w:tc>
          <w:tcPr>
            <w:tcW w:w="2694" w:type="dxa"/>
            <w:tcBorders>
              <w:top w:val="single" w:sz="4" w:space="0" w:color="auto"/>
            </w:tcBorders>
            <w:vAlign w:val="top"/>
          </w:tcPr>
          <w:p w14:paraId="73A925A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Compulsory</w:t>
            </w:r>
          </w:p>
        </w:tc>
        <w:tc>
          <w:tcPr>
            <w:tcW w:w="2948" w:type="dxa"/>
            <w:tcBorders>
              <w:top w:val="single" w:sz="4" w:space="0" w:color="auto"/>
            </w:tcBorders>
            <w:vAlign w:val="top"/>
          </w:tcPr>
          <w:p w14:paraId="3B16AE1E"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Elective</w:t>
            </w:r>
          </w:p>
        </w:tc>
      </w:tr>
      <w:tr w:rsidR="008F64FC" w:rsidRPr="008B6C93" w14:paraId="719BA1F4" w14:textId="77777777" w:rsidTr="00373D14">
        <w:trPr/>
        <w:tc>
          <w:tcPr>
            <w:tcW w:w="4139" w:type="dxa"/>
            <w:vAlign w:val="top"/>
          </w:tcPr>
          <w:p>
            <w:pPr>
              <w:spacing w:before="40" w:after="40" w:line="240" w:lineRule="auto"/>
              <w:jc w:val="left"/>
            </w:pPr>
            <w:r>
              <w:rPr>
                <w:rFonts w:ascii="Arial" w:hAnsi="Arial" w:eastAsia="Arial" w:cs="Arial"/>
                <w:b w:val="0"/>
                <w:sz w:val="20"/>
                <w:szCs w:val="20"/>
              </w:rPr>
              <w:t>Level 5 credits:</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D744C2F"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r w:rsidR="008F64FC" w:rsidRPr="008B6C93" w14:paraId="4CC2FF3A" w14:textId="77777777" w:rsidTr="00373D14">
        <w:trPr/>
        <w:tc>
          <w:tcPr>
            <w:tcW w:w="4139" w:type="dxa"/>
            <w:vAlign w:val="top"/>
          </w:tcPr>
          <w:p w14:paraId="7AA109A5" w14:textId="77777777" w:rsidR="008F64FC" w:rsidRPr="008B6C93" w:rsidRDefault="008F64FC" w:rsidP="008F64FC">
            <w:pPr>
              <w:tabs>
                <w:tab w:val="left" w:pos="3970"/>
                <w:tab w:val="left" w:pos="6237"/>
              </w:tabs>
              <w:spacing w:line="240" w:lineRule="auto" w:before="40" w:after="40"/>
              <w:contextualSpacing/>
              <w:jc w:val="both"/>
              <w:rPr>
                <w:rFonts w:ascii="Arial" w:hAnsi="Arial" w:eastAsia="Arial" w:cs="Arial"/>
                <w:sz w:val="20"/>
                <w:szCs w:val="20"/>
              </w:rPr>
            </w:pPr>
            <w:r w:rsidRPr="008B6C93">
              <w:rPr>
                <w:rFonts w:ascii="Arial" w:hAnsi="Arial" w:eastAsia="Arial" w:cs="Arial"/>
                <w:sz w:val="20"/>
                <w:szCs w:val="20"/>
              </w:rPr>
              <w:t>Minimum total credits required:</w:t>
            </w:r>
          </w:p>
        </w:tc>
        <w:tc>
          <w:tcPr>
            <w:tcW w:w="2694" w:type="dxa"/>
            <w:vAlign w:val="top"/>
          </w:tcPr>
          <w:p>
            <w:pPr>
              <w:spacing w:before="40" w:after="40" w:line="240" w:lineRule="auto"/>
              <w:jc w:val="left"/>
            </w:pPr>
            <w:r>
              <w:rPr>
                <w:rFonts w:ascii="Arial" w:hAnsi="Arial" w:eastAsia="Arial" w:cs="Arial"/>
                <w:b w:val="0"/>
                <w:sz w:val="20"/>
                <w:szCs w:val="20"/>
              </w:rPr>
              <w:t>120</w:t>
            </w:r>
          </w:p>
        </w:tc>
        <w:tc>
          <w:tcPr>
            <w:tcW w:w="2948" w:type="dxa"/>
            <w:vAlign w:val="top"/>
          </w:tcPr>
          <w:p w14:paraId="72449989" w14:textId="77777777" w:rsidR="008F64FC" w:rsidRPr="008B6C93" w:rsidRDefault="008F64FC" w:rsidP="008F64FC">
            <w:pPr>
              <w:tabs>
                <w:tab w:val="left" w:pos="3970"/>
                <w:tab w:val="left" w:pos="6237"/>
              </w:tabs>
              <w:spacing w:line="240" w:lineRule="auto" w:before="40" w:after="40"/>
              <w:contextualSpacing/>
              <w:jc w:val="center"/>
              <w:rPr>
                <w:rFonts w:ascii="Arial" w:hAnsi="Arial" w:eastAsia="Arial" w:cs="Arial"/>
                <w:sz w:val="20"/>
                <w:szCs w:val="20"/>
              </w:rPr>
            </w:pPr>
            <w:r w:rsidRPr="008B6C93">
              <w:rPr>
                <w:rFonts w:ascii="Arial" w:hAnsi="Arial" w:eastAsia="Arial" w:cs="Arial"/>
                <w:sz w:val="20"/>
                <w:szCs w:val="20"/>
              </w:rPr>
              <w:t>-</w:t>
            </w:r>
          </w:p>
        </w:tc>
      </w:tr>
    </w:tbl>
    <w:p w14:paraId="0F921D54" w14:textId="77777777" w:rsidR="00885E26" w:rsidRPr="008B6C93" w:rsidRDefault="00885E26" w:rsidP="00373D14">
      <w:pPr>
        <w:pageBreakBefore/>
        <w:spacing w:before="0" w:after="120"/>
        <w:ind w:left="284"/>
        <w:contextualSpacing/>
        <w:rPr>
          <w:rFonts w:ascii="Arial" w:hAnsi="Arial" w:eastAsia="Arial" w:cs="Arial"/>
          <w:sz w:val="20"/>
          <w:szCs w:val="20"/>
        </w:rPr>
      </w:pPr>
      <w:r w:rsidRPr="008B6C93">
        <w:rPr>
          <w:rFonts w:ascii="Arial" w:hAnsi="Arial" w:eastAsia="Arial" w:cs="Arial"/>
          <w:b/>
          <w:bCs/>
          <w:sz w:val="20"/>
          <w:szCs w:val="20"/>
        </w:rPr>
        <w:t>Qualification Structure</w:t>
      </w:r>
      <w:r w:rsidRPr="008B6C93">
        <w:rPr>
          <w:rStyle w:val="FootnoteReference"/>
          <w:rFonts w:ascii="Arial" w:hAnsi="Arial" w:eastAsia="Arial" w:cs="Arial"/>
          <w:sz w:val="20"/>
          <w:szCs w:val="20"/>
        </w:rPr>
        <w:footnoteReference w:id="6"/>
      </w:r>
    </w:p>
    <w:tbl>
      <w:tblPr>
        <w:tblW w:w="9781" w:type="dxa"/>
        <w:tblInd w:w="39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446"/>
        <w:gridCol w:w="5783"/>
        <w:gridCol w:w="992"/>
        <w:gridCol w:w="993"/>
      </w:tblGrid>
      <w:tr w:rsidR="00885E26" w:rsidRPr="008B6C93" w14:paraId="05DAF36E" w14:textId="77777777" w:rsidTr="00373D14">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0FE049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46" w:type="dxa"/>
            <w:tcBorders>
              <w:top w:val="single" w:sz="4" w:space="0" w:color="000000"/>
              <w:left w:val="single" w:sz="4" w:space="0" w:color="000000"/>
              <w:bottom w:val="single" w:sz="4" w:space="0" w:color="000000"/>
              <w:right w:val="single" w:sz="4" w:space="0" w:color="000000"/>
            </w:tcBorders>
            <w:shd w:val="clear" w:color="auto" w:fill="BFBFBF"/>
            <w:vAlign w:val="top"/>
          </w:tcPr>
          <w:p w14:paraId="5C02502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FC98610"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99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5128FFDC"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99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CEC71EA"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Local Governance and Administrative Ethics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Records and Administrative Systems</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LGFR-5105</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Finance and Revenue Administration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LGSD-5206</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Service Delivery and Asset Monitoring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LGPA-5207</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Procurement and Contract Administration</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LGCP-5208</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Community Participation and Development Planning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LGPM-5209</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Project Monitoring and Reporting</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r>
      <w:tr w:rsidR="00484777" w:rsidRPr="008B6C93" w14:paraId="798A4352" w14:textId="77777777" w:rsidTr="00373D14">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4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LGIP-5210</w:t>
            </w:r>
          </w:p>
        </w:tc>
        <w:tc>
          <w:tcPr>
            <w:tcW w:w="57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Municipal Service Improvement Project</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99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r>
    </w:tbl>
    <w:p w14:paraId="5E48422E" w14:textId="77777777" w:rsidR="00C65B51" w:rsidRPr="008B6C93" w:rsidRDefault="00C65B51">
      <w:pPr>
        <w:spacing w:before="0" w:after="120"/>
        <w:rPr>
          <w:rFonts w:ascii="Arial" w:hAnsi="Arial" w:eastAsia="Arial" w:cs="Arial"/>
          <w:sz w:val="20"/>
          <w:szCs w:val="20"/>
        </w:rPr>
        <w:sectPr w:rsidR="00C65B51" w:rsidRPr="008B6C93">
          <w:footerReference w:type="default" r:id="rId9"/>
          <w:headerReference w:type="default" r:id="rId81"/>
          <w:pgSz w:w="11906" w:h="16838"/>
          <w:pgMar w:top="850" w:right="907" w:bottom="850" w:left="907" w:header="397" w:footer="397" w:gutter="0"/>
          <w:pgBorders w:display="firstPage" w:offsetFrom="page">
            <w:top w:val="single" w:sz="10" w:space="20" w:color="F36B18"/>
            <w:left w:val="single" w:sz="10" w:space="20" w:color="F36B18"/>
            <w:bottom w:val="single" w:sz="10" w:space="20" w:color="F36B18"/>
            <w:right w:val="single" w:sz="10" w:space="20" w:color="F36B18"/>
          </w:pgBorders>
          <w:cols w:space="720"/>
          <w:docGrid w:linePitch="360"/>
        </w:sectPr>
      </w:pPr>
    </w:p>
    <w:p w14:paraId="23585C03" w14:textId="47D218A8" w:rsidR="00885E26" w:rsidRPr="008B6C93" w:rsidRDefault="00885E26" w:rsidP="00885E26">
      <w:pPr>
        <w:keepNext/>
        <w:spacing w:before="0" w:after="120"/>
        <w:rPr>
          <w:rFonts w:ascii="Arial" w:hAnsi="Arial" w:eastAsia="Arial" w:cs="Arial"/>
          <w:b/>
          <w:bCs/>
          <w:lang w:val="en-US"/>
          <w:sz w:val="20"/>
          <w:szCs w:val="20"/>
        </w:rPr>
      </w:pPr>
      <w:r w:rsidRPr="008B6C93">
        <w:rPr>
          <w:rFonts w:ascii="Arial" w:hAnsi="Arial" w:eastAsia="Arial" w:cs="Arial"/>
          <w:b/>
          <w:bCs/>
          <w:sz w:val="20"/>
          <w:lang w:val="en-US"/>
          <w:szCs w:val="20"/>
        </w:rPr>
        <w:t>Detailed Qualification Structure</w:t>
      </w:r>
    </w:p>
    <w:tbl>
      <w:tblPr>
        <w:tblW w:w="1505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3"/>
        <w:gridCol w:w="1003"/>
        <w:gridCol w:w="1134"/>
        <w:gridCol w:w="1433"/>
        <w:gridCol w:w="1417"/>
        <w:gridCol w:w="1276"/>
      </w:tblGrid>
      <w:tr w:rsidR="00885E26" w:rsidRPr="008B6C93" w14:paraId="435529B1"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0FCEABD2"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06A24AC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B1B12E1"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78AFF4C3"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114DD16E" w14:textId="77777777" w:rsidR="00885E26" w:rsidRPr="008B6C93" w:rsidRDefault="00885E26"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716834B6"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45BB1C75"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63F9563"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4052CB7C" w14:textId="77777777" w:rsidR="00885E26" w:rsidRPr="008B6C93" w:rsidRDefault="00885E26"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Local Governance and Administrative Ethics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Records and Administrative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LGFR-5105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Finance and Revenue Administration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LGSD-5206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Service Delivery and Asset Monitoring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 LGFR-5105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LGPA-5207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Procurement and Contract Administration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 LGFR-5105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LGCP-5208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Community Participation and Development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 LGRA-5104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LGPM-5209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Project Monitoring and Reporting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 LGFR-5105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484777" w:rsidRPr="008B6C93" w14:paraId="0E146082"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LGIP-5210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Municipal Service Improvement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 LGRA-5104, LGFR-5105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bl>
    <w:p w14:paraId="69587798" w14:textId="613F5814" w:rsidR="00484777" w:rsidRPr="008B6C93" w:rsidRDefault="0082754C" w:rsidP="00484777">
      <w:pPr>
        <w:spacing w:before="0" w:after="120"/>
        <w:rPr>
          <w:rFonts w:ascii="Arial" w:hAnsi="Arial" w:eastAsia="Arial" w:cs="Arial"/>
          <w:b/>
          <w:bCs/>
          <w:sz w:val="20"/>
          <w:szCs w:val="20"/>
        </w:rPr>
      </w:pPr>
      <w:r w:rsidRPr="008B6C93">
        <w:rPr>
          <w:rFonts w:ascii="Arial" w:hAnsi="Arial" w:eastAsia="Arial" w:cs="Arial"/>
          <w:b/>
          <w:bCs/>
          <w:sz w:val="20"/>
          <w:lang w:val="en-US"/>
          <w:szCs w:val="20"/>
        </w:rPr>
        <w:lastRenderedPageBreak/>
        <w:t>Learning Time Distribution Framework</w:t>
      </w:r>
      <w:r w:rsidRPr="008B6C93">
        <w:rPr>
          <w:rStyle w:val="FootnoteReference"/>
          <w:rFonts w:ascii="Arial" w:hAnsi="Arial" w:eastAsia="Arial" w:cs="Arial"/>
          <w:b/>
          <w:bCs/>
          <w:sz w:val="20"/>
          <w:lang w:val="en-US"/>
          <w:szCs w:val="20"/>
        </w:rPr>
        <w:footnoteReference w:id="7"/>
      </w:r>
    </w:p>
    <w:p w14:paraId="1136D19D" w14:textId="7F1437EB" w:rsidR="00484777" w:rsidRPr="008B6C93" w:rsidRDefault="00484777" w:rsidP="0082754C">
      <w:pPr>
        <w:spacing w:before="0" w:after="120"/>
        <w:ind w:right="38"/>
        <w:contextualSpacing/>
        <w:jc w:val="both"/>
        <w:rPr>
          <w:rFonts w:ascii="Arial" w:hAnsi="Arial" w:eastAsia="Arial" w:cs="Arial"/>
          <w:sz w:val="20"/>
          <w:szCs w:val="20"/>
        </w:rPr>
      </w:pPr>
      <w:r>
        <w:rPr>
          <w:rFonts w:ascii="Arial" w:hAnsi="Arial" w:eastAsia="Arial" w:cs="Arial"/>
          <w:sz w:val="20"/>
          <w:szCs w:val="20"/>
        </w:rPr>
        <w:t>One credit represents ten notional learning hours. The 120-credit qualification therefore contains 1,200 hours, including learning and assessment. The activity allocation below is the College’s planning model, not a nationally prescribed percentage split.</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709"/>
        <w:gridCol w:w="3544"/>
        <w:gridCol w:w="2036"/>
        <w:gridCol w:w="8737"/>
      </w:tblGrid>
      <w:tr w:rsidR="0082754C" w:rsidRPr="008B6C93" w14:paraId="633384BA" w14:textId="77777777" w:rsidTr="00484777">
        <w:trPr>
          <w:tblHeader/>
        </w:trPr>
        <w:tc>
          <w:tcPr>
            <w:tcW w:w="709" w:type="dxa"/>
            <w:shd w:val="clear" w:color="auto" w:fill="D9D9D9"/>
            <w:vAlign w:val="top"/>
          </w:tcPr>
          <w:p w14:paraId="552B941E"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No</w:t>
            </w:r>
          </w:p>
        </w:tc>
        <w:tc>
          <w:tcPr>
            <w:tcW w:w="3544" w:type="dxa"/>
            <w:shd w:val="clear" w:color="auto" w:fill="D9D9D9"/>
            <w:vAlign w:val="top"/>
          </w:tcPr>
          <w:p w14:paraId="03DE19D2"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Learning Activity Category</w:t>
            </w:r>
          </w:p>
        </w:tc>
        <w:tc>
          <w:tcPr>
            <w:tcW w:w="2036" w:type="dxa"/>
            <w:shd w:val="clear" w:color="auto" w:fill="D9D9D9"/>
            <w:vAlign w:val="top"/>
          </w:tcPr>
          <w:p w14:paraId="7A9140D6" w14:textId="77777777" w:rsidR="0082754C" w:rsidRPr="008B6C93" w:rsidRDefault="0082754C" w:rsidP="008862B1">
            <w:pPr>
              <w:keepNext/>
              <w:spacing w:line="240" w:lineRule="auto" w:before="40" w:after="40"/>
              <w:contextualSpacing/>
              <w:jc w:val="left"/>
              <w:rPr>
                <w:rFonts w:ascii="Arial" w:hAnsi="Arial" w:eastAsia="Arial" w:cs="Arial"/>
                <w:sz w:val="20"/>
                <w:szCs w:val="20"/>
              </w:rPr>
            </w:pPr>
            <w:r w:rsidRPr="008B6C93">
              <w:rPr>
                <w:rFonts w:ascii="Arial" w:hAnsi="Arial" w:eastAsia="Arial" w:cs="Arial"/>
                <w:b/>
                <w:sz w:val="20"/>
                <w:szCs w:val="20"/>
              </w:rPr>
              <w:t>% Allocation Per Credit</w:t>
            </w:r>
          </w:p>
        </w:tc>
        <w:tc>
          <w:tcPr>
            <w:tcW w:w="8737" w:type="dxa"/>
            <w:shd w:val="clear" w:color="auto" w:fill="D9D9D9"/>
            <w:vAlign w:val="top"/>
          </w:tcPr>
          <w:p w14:paraId="317150BF" w14:textId="77777777" w:rsidR="0082754C" w:rsidRPr="008B6C93" w:rsidRDefault="0082754C" w:rsidP="008862B1">
            <w:pPr>
              <w:keepNext/>
              <w:spacing w:line="240" w:lineRule="auto" w:before="40" w:after="40"/>
              <w:ind w:left="567"/>
              <w:contextualSpacing/>
              <w:jc w:val="left"/>
              <w:rPr>
                <w:rFonts w:ascii="Arial" w:hAnsi="Arial" w:eastAsia="Arial" w:cs="Arial"/>
                <w:sz w:val="20"/>
                <w:szCs w:val="20"/>
              </w:rPr>
            </w:pPr>
            <w:r w:rsidRPr="008B6C93">
              <w:rPr>
                <w:rFonts w:ascii="Arial" w:hAnsi="Arial" w:eastAsia="Arial" w:cs="Arial"/>
                <w:b/>
                <w:sz w:val="20"/>
                <w:szCs w:val="20"/>
              </w:rPr>
              <w:t>Interpretation</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1</w:t>
            </w:r>
          </w:p>
        </w:tc>
        <w:tc>
          <w:tcPr>
            <w:tcW w:w="3544" w:type="dxa"/>
            <w:vAlign w:val="top"/>
          </w:tcPr>
          <w:p>
            <w:pPr>
              <w:spacing w:before="40" w:after="40" w:line="240" w:lineRule="auto"/>
              <w:jc w:val="left"/>
            </w:pPr>
            <w:r>
              <w:rPr>
                <w:rFonts w:ascii="Arial" w:hAnsi="Arial" w:eastAsia="Arial" w:cs="Arial"/>
                <w:b w:val="0"/>
                <w:sz w:val="20"/>
                <w:szCs w:val="20"/>
              </w:rPr>
              <w:t>Taught contact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Lectures, seminars, tutorials and structured workshops.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2</w:t>
            </w:r>
          </w:p>
        </w:tc>
        <w:tc>
          <w:tcPr>
            <w:tcW w:w="3544" w:type="dxa"/>
            <w:vAlign w:val="top"/>
          </w:tcPr>
          <w:p>
            <w:pPr>
              <w:spacing w:before="40" w:after="40" w:line="240" w:lineRule="auto"/>
              <w:jc w:val="left"/>
            </w:pPr>
            <w:r>
              <w:rPr>
                <w:rFonts w:ascii="Arial" w:hAnsi="Arial" w:eastAsia="Arial" w:cs="Arial"/>
                <w:b w:val="0"/>
                <w:sz w:val="20"/>
                <w:szCs w:val="20"/>
              </w:rPr>
              <w:t>Guided practical contact learning / directed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Supervised exercises, practical activities and simulations within the programme safety boundaries.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3</w:t>
            </w:r>
          </w:p>
        </w:tc>
        <w:tc>
          <w:tcPr>
            <w:tcW w:w="3544" w:type="dxa"/>
            <w:vAlign w:val="top"/>
          </w:tcPr>
          <w:p>
            <w:pPr>
              <w:spacing w:before="40" w:after="40" w:line="240" w:lineRule="auto"/>
              <w:jc w:val="left"/>
            </w:pPr>
            <w:r>
              <w:rPr>
                <w:rFonts w:ascii="Arial" w:hAnsi="Arial" w:eastAsia="Arial" w:cs="Arial"/>
                <w:b w:val="0"/>
                <w:sz w:val="20"/>
                <w:szCs w:val="20"/>
              </w:rPr>
              <w:t>Independent learning</w:t>
            </w:r>
          </w:p>
        </w:tc>
        <w:tc>
          <w:tcPr>
            <w:tcW w:w="2036" w:type="dxa"/>
            <w:vAlign w:val="top"/>
          </w:tcPr>
          <w:p>
            <w:pPr>
              <w:spacing w:before="40" w:after="40" w:line="240" w:lineRule="auto"/>
              <w:jc w:val="left"/>
            </w:pPr>
            <w:r>
              <w:rPr>
                <w:rFonts w:ascii="Arial" w:hAnsi="Arial" w:eastAsia="Arial" w:cs="Arial"/>
                <w:b w:val="0"/>
                <w:sz w:val="20"/>
                <w:szCs w:val="20"/>
              </w:rPr>
              <w:t>30% | 360 hours</w:t>
            </w:r>
          </w:p>
        </w:tc>
        <w:tc>
          <w:tcPr>
            <w:tcW w:w="8737" w:type="dxa"/>
            <w:vAlign w:val="top"/>
          </w:tcPr>
          <w:p>
            <w:pPr>
              <w:spacing w:before="40" w:after="40" w:line="240" w:lineRule="auto"/>
              <w:jc w:val="left"/>
            </w:pPr>
            <w:r>
              <w:rPr>
                <w:rFonts w:ascii="Arial" w:hAnsi="Arial" w:eastAsia="Arial" w:cs="Arial"/>
                <w:b w:val="0"/>
                <w:sz w:val="20"/>
                <w:szCs w:val="20"/>
              </w:rPr>
              <w:t>Reading, preparation, research and independent practice.</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t>4</w:t>
            </w:r>
          </w:p>
        </w:tc>
        <w:tc>
          <w:tcPr>
            <w:tcW w:w="3544" w:type="dxa"/>
            <w:vAlign w:val="top"/>
          </w:tcPr>
          <w:p>
            <w:pPr>
              <w:spacing w:before="40" w:after="40" w:line="240" w:lineRule="auto"/>
              <w:jc w:val="left"/>
            </w:pPr>
            <w:r>
              <w:rPr>
                <w:rFonts w:ascii="Arial" w:hAnsi="Arial" w:eastAsia="Arial" w:cs="Arial"/>
                <w:b w:val="0"/>
                <w:sz w:val="20"/>
                <w:szCs w:val="20"/>
              </w:rPr>
              <w:t>Assessment</w:t>
            </w:r>
          </w:p>
        </w:tc>
        <w:tc>
          <w:tcPr>
            <w:tcW w:w="2036" w:type="dxa"/>
            <w:vAlign w:val="top"/>
          </w:tcPr>
          <w:p>
            <w:pPr>
              <w:spacing w:before="40" w:after="40" w:line="240" w:lineRule="auto"/>
              <w:jc w:val="left"/>
            </w:pPr>
            <w:r>
              <w:rPr>
                <w:rFonts w:ascii="Arial" w:hAnsi="Arial" w:eastAsia="Arial" w:cs="Arial"/>
                <w:b w:val="0"/>
                <w:sz w:val="20"/>
                <w:szCs w:val="20"/>
              </w:rPr>
              <w:t>10% | 120 hours</w:t>
            </w:r>
          </w:p>
        </w:tc>
        <w:tc>
          <w:tcPr>
            <w:tcW w:w="8737" w:type="dxa"/>
            <w:vAlign w:val="top"/>
          </w:tcPr>
          <w:p>
            <w:pPr>
              <w:spacing w:before="40" w:after="40" w:line="240" w:lineRule="auto"/>
              <w:jc w:val="left"/>
            </w:pPr>
            <w:r>
              <w:rPr>
                <w:rFonts w:ascii="Arial" w:hAnsi="Arial" w:eastAsia="Arial" w:cs="Arial"/>
                <w:b w:val="0"/>
                <w:sz w:val="20"/>
                <w:szCs w:val="20"/>
              </w:rPr>
              <w:t>Preparation and completion of assessments; recorded separately from contact hours.</w:t>
            </w:r>
          </w:p>
        </w:tc>
      </w:tr>
      <w:tr w:rsidR="006F54F2" w:rsidRPr="008B6C93" w14:paraId="144CE951" w14:textId="77777777" w:rsidTr="00484777">
        <w:trPr/>
        <w:tc>
          <w:tcPr>
            <w:tcW w:w="709" w:type="dxa"/>
            <w:vAlign w:val="top"/>
          </w:tcPr>
          <w:p>
            <w:pPr>
              <w:spacing w:before="40" w:after="40" w:line="240" w:lineRule="auto"/>
              <w:jc w:val="left"/>
            </w:pPr>
            <w:r>
              <w:rPr>
                <w:rFonts w:ascii="Arial" w:hAnsi="Arial" w:eastAsia="Arial" w:cs="Arial"/>
                <w:b w:val="0"/>
                <w:sz w:val="20"/>
                <w:szCs w:val="20"/>
              </w:rPr>
            </w:r>
          </w:p>
        </w:tc>
        <w:tc>
          <w:tcPr>
            <w:tcW w:w="3544" w:type="dxa"/>
            <w:vAlign w:val="top"/>
          </w:tcPr>
          <w:p>
            <w:pPr>
              <w:spacing w:before="40" w:after="40" w:line="240" w:lineRule="auto"/>
              <w:jc w:val="left"/>
            </w:pPr>
            <w:r>
              <w:rPr>
                <w:rFonts w:ascii="Arial" w:hAnsi="Arial" w:eastAsia="Arial" w:cs="Arial"/>
                <w:b w:val="0"/>
                <w:sz w:val="20"/>
                <w:szCs w:val="20"/>
              </w:rPr>
              <w:t>Total</w:t>
            </w:r>
          </w:p>
        </w:tc>
        <w:tc>
          <w:tcPr>
            <w:tcW w:w="2036" w:type="dxa"/>
            <w:vAlign w:val="top"/>
          </w:tcPr>
          <w:p>
            <w:pPr>
              <w:spacing w:before="40" w:after="40" w:line="240" w:lineRule="auto"/>
              <w:jc w:val="left"/>
            </w:pPr>
            <w:r>
              <w:rPr>
                <w:rFonts w:ascii="Arial" w:hAnsi="Arial" w:eastAsia="Arial" w:cs="Arial"/>
                <w:b w:val="0"/>
                <w:sz w:val="20"/>
                <w:szCs w:val="20"/>
              </w:rPr>
              <w:t>100% | 1,200 hours</w:t>
            </w:r>
          </w:p>
        </w:tc>
        <w:tc>
          <w:tcPr>
            <w:tcW w:w="8737" w:type="dxa"/>
            <w:vAlign w:val="top"/>
          </w:tcPr>
          <w:p>
            <w:pPr>
              <w:spacing w:before="40" w:after="40" w:line="240" w:lineRule="auto"/>
              <w:jc w:val="left"/>
            </w:pPr>
            <w:r>
              <w:rPr>
                <w:rFonts w:ascii="Arial" w:hAnsi="Arial" w:eastAsia="Arial" w:cs="Arial"/>
                <w:b w:val="0"/>
                <w:sz w:val="20"/>
                <w:szCs w:val="20"/>
              </w:rPr>
              <w:t>720 contact hours; 480 independent-learning and assessment hours.</w:t>
            </w:r>
          </w:p>
        </w:tc>
      </w:tr>
    </w:tbl>
    <w:p w14:paraId="14485BC9" w14:textId="77777777" w:rsidR="006F54F2" w:rsidRPr="008B6C93" w:rsidRDefault="006F54F2" w:rsidP="006F54F2">
      <w:pPr>
        <w:pStyle w:val="Heading1"/>
        <w:spacing w:before="0" w:after="120"/>
        <w:rPr>
          <w:rFonts w:ascii="Arial" w:hAnsi="Arial" w:eastAsia="Arial" w:cs="Arial"/>
          <w:sz w:val="20"/>
          <w:szCs w:val="20"/>
        </w:rPr>
      </w:pPr>
      <w:r w:rsidRPr="008B6C93">
        <w:rPr>
          <w:rFonts w:ascii="Arial" w:hAnsi="Arial" w:eastAsia="Arial" w:cs="Arial"/>
          <w:sz w:val="20"/>
          <w:szCs w:val="20"/>
        </w:rPr>
        <w:t>Credit weighting rationale</w:t>
      </w:r>
    </w:p>
    <w:p w14:paraId="36F5E28C"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The two shared 10-credit foundations support academic communication and secure information use. Semester 1 assigns 40 further credits to three discipline foundations. Semester 2 assigns 44 credits to four applied modules and 16 to the integrated project. Greater credit is allocated to repeated technical analysis and integrated evidence rather than title complexity.</w:t>
      </w:r>
    </w:p>
    <w:p w14:paraId="1200D500" w14:textId="77777777" w:rsidR="006F54F2" w:rsidRPr="008B6C93" w:rsidRDefault="006F54F2" w:rsidP="00484777">
      <w:pPr>
        <w:spacing w:before="0" w:after="120"/>
        <w:jc w:val="both"/>
        <w:rPr>
          <w:rFonts w:ascii="Arial" w:hAnsi="Arial" w:eastAsia="Arial" w:cs="Arial"/>
          <w:sz w:val="20"/>
          <w:szCs w:val="20"/>
        </w:rPr>
      </w:pPr>
      <w:r>
        <w:rPr>
          <w:rFonts w:ascii="Arial" w:hAnsi="Arial" w:eastAsia="Arial" w:cs="Arial"/>
          <w:sz w:val="20"/>
          <w:szCs w:val="20"/>
        </w:rPr>
        <w:t>Module allocations use the same percentages: a 10-credit module has 30 taught, 30 guided practical, 30 independent and 10 assessment hours; a 12-credit module has 36, 36, 36 and 12 hours; a 14-credit module has 42, 42, 42 and 14 hours; a 16-credit module has 48, 48, 48 and 16 hours. Each semester totals 600 notional hours, including 360 contact hours.</w:t>
      </w:r>
    </w:p>
    <w:p w14:paraId="7A2ED4AF" w14:textId="77777777" w:rsidR="00274B8B" w:rsidRPr="008B6C93" w:rsidRDefault="00274B8B" w:rsidP="00274B8B">
      <w:pPr>
        <w:pStyle w:val="Heading2"/>
        <w:spacing w:before="0" w:after="120"/>
        <w:contextualSpacing/>
        <w:rPr>
          <w:rFonts w:ascii="Arial" w:hAnsi="Arial" w:eastAsia="Arial" w:cs="Arial"/>
          <w:sz w:val="20"/>
          <w:szCs w:val="20"/>
        </w:rPr>
      </w:pPr>
      <w:r>
        <w:rPr>
          <w:rFonts w:ascii="Arial" w:hAnsi="Arial" w:eastAsia="Arial" w:cs="Arial"/>
          <w:sz w:val="20"/>
          <w:szCs w:val="20"/>
        </w:rPr>
        <w:t>Year 1 (Semesters 1 and 2) 120 Credits</w:t>
      </w:r>
    </w:p>
    <w:tbl>
      <w:tblPr>
        <w:tblW w:w="1505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1589"/>
        <w:gridCol w:w="5782"/>
        <w:gridCol w:w="857"/>
        <w:gridCol w:w="1003"/>
        <w:gridCol w:w="1134"/>
        <w:gridCol w:w="1433"/>
        <w:gridCol w:w="1417"/>
        <w:gridCol w:w="1276"/>
      </w:tblGrid>
      <w:tr w:rsidR="00274B8B" w:rsidRPr="008B6C93" w14:paraId="40C73936" w14:textId="77777777" w:rsidTr="00484777">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761AC4A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589" w:type="dxa"/>
            <w:tcBorders>
              <w:top w:val="single" w:sz="4" w:space="0" w:color="000000"/>
              <w:left w:val="single" w:sz="4" w:space="0" w:color="000000"/>
              <w:bottom w:val="single" w:sz="4" w:space="0" w:color="000000"/>
              <w:right w:val="single" w:sz="4" w:space="0" w:color="000000"/>
            </w:tcBorders>
            <w:shd w:val="clear" w:color="auto" w:fill="BFBFBF"/>
            <w:vAlign w:val="top"/>
          </w:tcPr>
          <w:p w14:paraId="7BF64733"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5782"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2167354"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85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253247A"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Level</w:t>
            </w:r>
          </w:p>
        </w:tc>
        <w:tc>
          <w:tcPr>
            <w:tcW w:w="10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6AAB1051" w14:textId="77777777" w:rsidR="00274B8B" w:rsidRPr="008B6C93" w:rsidRDefault="00274B8B"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1134" w:type="dxa"/>
            <w:tcBorders>
              <w:top w:val="single" w:sz="4" w:space="0" w:color="000000"/>
              <w:left w:val="single" w:sz="4" w:space="0" w:color="000000"/>
              <w:bottom w:val="single" w:sz="4" w:space="0" w:color="000000"/>
              <w:right w:val="single" w:sz="4" w:space="0" w:color="000000"/>
            </w:tcBorders>
            <w:shd w:val="clear" w:color="auto" w:fill="BFBFBF"/>
            <w:vAlign w:val="top"/>
          </w:tcPr>
          <w:p w14:paraId="3F9DF5E0"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33" w:type="dxa"/>
            <w:tcBorders>
              <w:top w:val="single" w:sz="4" w:space="0" w:color="000000"/>
              <w:left w:val="single" w:sz="4" w:space="0" w:color="000000"/>
              <w:bottom w:val="single" w:sz="4" w:space="0" w:color="000000"/>
              <w:right w:val="single" w:sz="4" w:space="0" w:color="000000"/>
            </w:tcBorders>
            <w:shd w:val="clear" w:color="auto" w:fill="BFBFBF"/>
            <w:vAlign w:val="top"/>
          </w:tcPr>
          <w:p w14:paraId="29EE7548"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1417" w:type="dxa"/>
            <w:tcBorders>
              <w:top w:val="single" w:sz="4" w:space="0" w:color="000000"/>
              <w:left w:val="single" w:sz="4" w:space="0" w:color="000000"/>
              <w:bottom w:val="single" w:sz="4" w:space="0" w:color="000000"/>
              <w:right w:val="single" w:sz="4" w:space="0" w:color="000000"/>
            </w:tcBorders>
            <w:shd w:val="clear" w:color="auto" w:fill="BFBFBF"/>
            <w:vAlign w:val="top"/>
          </w:tcPr>
          <w:p w14:paraId="3C161C01"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Compulsory/ Elective</w:t>
            </w:r>
          </w:p>
        </w:tc>
        <w:tc>
          <w:tcPr>
            <w:tcW w:w="1276" w:type="dxa"/>
            <w:tcBorders>
              <w:top w:val="single" w:sz="4" w:space="0" w:color="000000"/>
              <w:left w:val="single" w:sz="4" w:space="0" w:color="000000"/>
              <w:bottom w:val="single" w:sz="4" w:space="0" w:color="000000"/>
              <w:right w:val="single" w:sz="4" w:space="0" w:color="000000"/>
            </w:tcBorders>
            <w:shd w:val="clear" w:color="auto" w:fill="BFBFBF"/>
            <w:vAlign w:val="top"/>
          </w:tcPr>
          <w:p w14:paraId="373D2BD4" w14:textId="77777777" w:rsidR="00274B8B" w:rsidRPr="008B6C93" w:rsidRDefault="00274B8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Local Governance and Administrative Ethics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Records and Administrative Systems</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LGFR-5105</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Finance and Revenue Administration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1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LGSD-5206</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Service Delivery and Asset Monitoring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 LGFR-5105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LGPA-5207</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Procurement and Contract Administration</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 LGFR-5105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LGCP-5208</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Community Participation and Development Planning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 LGRA-5104</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LGPM-5209</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Project Monitoring and Reporting</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 LGFR-5105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LGIP-5210</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Municipal Service Improvement Project</w:t>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 LGRA-5104, LGFR-5105</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Compulsory</w:t>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Semester 2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60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360</w:t>
            </w:r>
          </w:p>
        </w:tc>
      </w:tr>
      <w:tr w:rsidR="00274B8B" w:rsidRPr="008B6C93" w14:paraId="294D388F" w14:textId="77777777" w:rsidTr="00484777">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58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Year total</w:t>
            </w:r>
          </w:p>
        </w:tc>
        <w:tc>
          <w:tcPr>
            <w:tcW w:w="578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8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tc>
        <w:tc>
          <w:tcPr>
            <w:tcW w:w="10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120</w:t>
            </w:r>
          </w:p>
        </w:tc>
        <w:tc>
          <w:tcPr>
            <w:tcW w:w="113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1200</w:t>
            </w:r>
          </w:p>
        </w:tc>
        <w:tc>
          <w:tcPr>
            <w:tcW w:w="14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r>
          </w:p>
        </w:tc>
        <w:tc>
          <w:tcPr>
            <w:tcW w:w="1276"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720</w:t>
            </w:r>
          </w:p>
        </w:tc>
      </w:tr>
    </w:tbl>
    <w:p w14:paraId="0C9746FE"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228B2F81" w14:textId="77777777" w:rsidR="00C65B51" w:rsidRPr="008B6C93" w:rsidRDefault="00000000">
      <w:pPr>
        <w:pStyle w:val="Heading1"/>
        <w:spacing w:before="0" w:after="120"/>
        <w:rPr>
          <w:rFonts w:ascii="Arial" w:hAnsi="Arial" w:eastAsia="Arial" w:cs="Arial"/>
          <w:sz w:val="20"/>
          <w:szCs w:val="20"/>
          <w:u w:val="single"/>
        </w:rPr>
      </w:pPr>
      <w:r w:rsidRPr="008B6C93">
        <w:rPr>
          <w:rFonts w:ascii="Arial" w:hAnsi="Arial" w:eastAsia="Arial" w:cs="Arial"/>
          <w:sz w:val="20"/>
          <w:szCs w:val="20"/>
          <w:u w:val="single"/>
        </w:rPr>
        <w:lastRenderedPageBreak/>
        <w:t>Qualification Structure by Outcomes and Fields of Learning</w:t>
      </w:r>
    </w:p>
    <w:p w14:paraId="50AA284D" w14:textId="77777777" w:rsidR="00C65B51" w:rsidRPr="008B6C93" w:rsidRDefault="00000000">
      <w:pPr>
        <w:keepNext/>
        <w:spacing w:before="0" w:after="120"/>
        <w:rPr>
          <w:rFonts w:ascii="Arial" w:hAnsi="Arial" w:eastAsia="Arial" w:cs="Arial"/>
          <w:b/>
          <w:sz w:val="20"/>
          <w:szCs w:val="20"/>
        </w:rPr>
      </w:pPr>
      <w:r w:rsidRPr="008B6C93">
        <w:rPr>
          <w:rFonts w:ascii="Arial" w:hAnsi="Arial" w:eastAsia="Arial" w:cs="Arial"/>
          <w:b/>
          <w:sz w:val="20"/>
          <w:szCs w:val="20"/>
        </w:rPr>
        <w:t>Qualification outcomes</w:t>
      </w:r>
    </w:p>
    <w:tbl>
      <w:tblPr>
        <w:tblStyle w:val="TableGrid"/>
        <w:tblW w:w="0" w:type="auto"/>
        <w:tblInd w:w="108" w:type="dxa"/>
        <w:tblLook w:val="04A0" w:firstRow="1" w:lastRow="0" w:firstColumn="1" w:lastColumn="0" w:noHBand="0" w:noVBand="1"/>
      </w:tblPr>
      <w:tblGrid>
        <w:gridCol w:w="709"/>
        <w:gridCol w:w="14423"/>
      </w:tblGrid>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EO1</w:t>
            </w:r>
          </w:p>
        </w:tc>
        <w:tc>
          <w:tcPr>
            <w:tcW w:w="14423" w:type="dxa"/>
            <w:vAlign w:val="top"/>
          </w:tcPr>
          <w:p>
            <w:pPr>
              <w:spacing w:before="40" w:after="40" w:line="240" w:lineRule="auto"/>
              <w:jc w:val="left"/>
            </w:pPr>
            <w:r>
              <w:rPr>
                <w:rFonts w:ascii="Arial" w:hAnsi="Arial" w:eastAsia="Arial" w:cs="Arial"/>
                <w:b w:val="0"/>
                <w:sz w:val="20"/>
                <w:szCs w:val="20"/>
              </w:rPr>
              <w:t>Interpret local-government roles and apply ethical administrative procedures.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EO2</w:t>
            </w:r>
          </w:p>
        </w:tc>
        <w:tc>
          <w:tcPr>
            <w:tcW w:w="14423" w:type="dxa"/>
            <w:vAlign w:val="top"/>
          </w:tcPr>
          <w:p>
            <w:pPr>
              <w:spacing w:before="40" w:after="40" w:line="240" w:lineRule="auto"/>
              <w:jc w:val="left"/>
            </w:pPr>
            <w:r>
              <w:rPr>
                <w:rFonts w:ascii="Arial" w:hAnsi="Arial" w:eastAsia="Arial" w:cs="Arial"/>
                <w:b w:val="0"/>
                <w:sz w:val="20"/>
                <w:szCs w:val="20"/>
              </w:rPr>
              <w:t>Maintain reliable records and communicate accessible municipal information.</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EO3</w:t>
            </w:r>
          </w:p>
        </w:tc>
        <w:tc>
          <w:tcPr>
            <w:tcW w:w="14423" w:type="dxa"/>
            <w:vAlign w:val="top"/>
          </w:tcPr>
          <w:p>
            <w:pPr>
              <w:spacing w:before="40" w:after="40" w:line="240" w:lineRule="auto"/>
              <w:jc w:val="left"/>
            </w:pPr>
            <w:r>
              <w:rPr>
                <w:rFonts w:ascii="Arial" w:hAnsi="Arial" w:eastAsia="Arial" w:cs="Arial"/>
                <w:b w:val="0"/>
                <w:sz w:val="20"/>
                <w:szCs w:val="20"/>
              </w:rPr>
              <w:t>Analyse municipal revenue, expenditure and service-delivery information.</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EO4</w:t>
            </w:r>
          </w:p>
        </w:tc>
        <w:tc>
          <w:tcPr>
            <w:tcW w:w="14423" w:type="dxa"/>
            <w:vAlign w:val="top"/>
          </w:tcPr>
          <w:p>
            <w:pPr>
              <w:spacing w:before="40" w:after="40" w:line="240" w:lineRule="auto"/>
              <w:jc w:val="left"/>
            </w:pPr>
            <w:r>
              <w:rPr>
                <w:rFonts w:ascii="Arial" w:hAnsi="Arial" w:eastAsia="Arial" w:cs="Arial"/>
                <w:b w:val="0"/>
                <w:sz w:val="20"/>
                <w:szCs w:val="20"/>
              </w:rPr>
              <w:t>Coordinate participatory planning and procurement administration within defined controls.</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EO5</w:t>
            </w:r>
          </w:p>
        </w:tc>
        <w:tc>
          <w:tcPr>
            <w:tcW w:w="14423" w:type="dxa"/>
            <w:vAlign w:val="top"/>
          </w:tcPr>
          <w:p>
            <w:pPr>
              <w:spacing w:before="40" w:after="40" w:line="240" w:lineRule="auto"/>
              <w:jc w:val="left"/>
            </w:pPr>
            <w:r>
              <w:rPr>
                <w:rFonts w:ascii="Arial" w:hAnsi="Arial" w:eastAsia="Arial" w:cs="Arial"/>
                <w:b w:val="0"/>
                <w:sz w:val="20"/>
                <w:szCs w:val="20"/>
              </w:rPr>
              <w:t>Use secure information systems to support transparent reporting and citizen service.</w:t>
            </w:r>
          </w:p>
        </w:tc>
      </w:tr>
      <w:tr w:rsidR="00484777" w:rsidRPr="008B6C93" w14:paraId="5BF969C8" w14:textId="77777777" w:rsidTr="00484777">
        <w:trPr/>
        <w:tc>
          <w:tcPr>
            <w:tcW w:w="709" w:type="dxa"/>
            <w:vAlign w:val="top"/>
          </w:tcPr>
          <w:p>
            <w:pPr>
              <w:spacing w:before="40" w:after="40" w:line="240" w:lineRule="auto"/>
              <w:jc w:val="left"/>
            </w:pPr>
            <w:r>
              <w:rPr>
                <w:rFonts w:ascii="Arial" w:hAnsi="Arial" w:eastAsia="Arial" w:cs="Arial"/>
                <w:b w:val="0"/>
                <w:sz w:val="20"/>
                <w:szCs w:val="20"/>
              </w:rPr>
              <w:t>EO6</w:t>
            </w:r>
          </w:p>
        </w:tc>
        <w:tc>
          <w:tcPr>
            <w:tcW w:w="14423" w:type="dxa"/>
            <w:vAlign w:val="top"/>
          </w:tcPr>
          <w:p>
            <w:pPr>
              <w:spacing w:before="40" w:after="40" w:line="240" w:lineRule="auto"/>
              <w:jc w:val="left"/>
            </w:pPr>
            <w:r>
              <w:rPr>
                <w:rFonts w:ascii="Arial" w:hAnsi="Arial" w:eastAsia="Arial" w:cs="Arial"/>
                <w:b w:val="0"/>
                <w:sz w:val="20"/>
                <w:szCs w:val="20"/>
              </w:rPr>
              <w:t>Develop and defend a feasible municipal service-improvement proposal.</w:t>
            </w:r>
          </w:p>
        </w:tc>
      </w:tr>
    </w:tbl>
    <w:p w14:paraId="77DF3E76"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t>Fields of Learning in the Republic of Namibia</w:t>
      </w:r>
    </w:p>
    <w:tbl>
      <w:tblPr>
        <w:tblW w:w="1502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7"/>
        <w:gridCol w:w="14459"/>
      </w:tblGrid>
      <w:tr w:rsidR="00484777" w:rsidRPr="008B6C93" w14:paraId="32767CB0" w14:textId="77777777" w:rsidTr="00484777">
        <w:trPr>
          <w:tblHeader/>
        </w:trPr>
        <w:tc>
          <w:tcPr>
            <w:tcW w:w="567" w:type="dxa"/>
            <w:shd w:val="clear" w:color="auto" w:fill="D9D9D9"/>
            <w:vAlign w:val="top"/>
          </w:tcPr>
          <w:p w14:paraId="59F6E304" w14:textId="77777777" w:rsidR="00484777" w:rsidRPr="008B6C93" w:rsidRDefault="00484777" w:rsidP="008862B1">
            <w:pPr>
              <w:pStyle w:val="ListParagraph"/>
              <w:keepNext/>
              <w:spacing w:line="240" w:lineRule="auto" w:before="40" w:after="40"/>
              <w:ind w:left="0" w:hanging="68"/>
              <w:rPr>
                <w:rFonts w:ascii="Arial" w:hAnsi="Arial" w:eastAsia="Arial" w:cs="Arial"/>
                <w:lang w:val="en-US"/>
                <w:sz w:val="20"/>
                <w:szCs w:val="20"/>
              </w:rPr>
            </w:pPr>
            <w:r w:rsidRPr="008B6C93">
              <w:rPr>
                <w:rFonts w:ascii="Arial" w:hAnsi="Arial" w:eastAsia="Arial" w:cs="Arial"/>
                <w:lang w:val="en-US"/>
                <w:sz w:val="20"/>
                <w:szCs w:val="20"/>
              </w:rPr>
              <w:t>No</w:t>
            </w:r>
          </w:p>
        </w:tc>
        <w:tc>
          <w:tcPr>
            <w:tcW w:w="14459" w:type="dxa"/>
            <w:shd w:val="clear" w:color="auto" w:fill="D9D9D9"/>
            <w:vAlign w:val="top"/>
          </w:tcPr>
          <w:p w14:paraId="6F6FE379" w14:textId="083C77E8" w:rsidR="00484777" w:rsidRPr="008B6C93" w:rsidRDefault="00484777" w:rsidP="008862B1">
            <w:pPr>
              <w:pStyle w:val="ListParagraph"/>
              <w:keepNext/>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 xml:space="preserve">NQF </w:t>
            </w:r>
            <w:r w:rsidRPr="008B6C93">
              <w:rPr>
                <w:rFonts w:ascii="Arial" w:hAnsi="Arial" w:eastAsia="Arial" w:cs="Arial"/>
                <w:sz w:val="20"/>
                <w:szCs w:val="20"/>
              </w:rPr>
              <w:t xml:space="preserve">Broad </w:t>
            </w:r>
            <w:r w:rsidRPr="008B6C93">
              <w:rPr>
                <w:rFonts w:ascii="Arial" w:hAnsi="Arial" w:eastAsia="Arial" w:cs="Arial"/>
                <w:lang w:val="en-US"/>
                <w:sz w:val="20"/>
                <w:szCs w:val="20"/>
              </w:rPr>
              <w:t xml:space="preserve">Field(s) </w:t>
            </w:r>
          </w:p>
        </w:tc>
      </w:tr>
      <w:tr w:rsidR="00484777" w:rsidRPr="008B6C93" w14:paraId="2BF09E3E" w14:textId="77777777" w:rsidTr="00484777">
        <w:trPr/>
        <w:tc>
          <w:tcPr>
            <w:tcW w:w="567" w:type="dxa"/>
            <w:vAlign w:val="top"/>
          </w:tcPr>
          <w:p w14:paraId="069A3CCA"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w:t>
            </w:r>
          </w:p>
        </w:tc>
        <w:tc>
          <w:tcPr>
            <w:tcW w:w="14459" w:type="dxa"/>
            <w:vAlign w:val="top"/>
          </w:tcPr>
          <w:p w14:paraId="661AC47B" w14:textId="0C0258B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Agriculture and Nature Conservation</w:t>
            </w:r>
          </w:p>
        </w:tc>
      </w:tr>
      <w:tr w:rsidR="00484777" w:rsidRPr="008B6C93" w14:paraId="49BF5576" w14:textId="77777777" w:rsidTr="00484777">
        <w:trPr/>
        <w:tc>
          <w:tcPr>
            <w:tcW w:w="567" w:type="dxa"/>
            <w:vAlign w:val="top"/>
          </w:tcPr>
          <w:p w14:paraId="48F3782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2</w:t>
            </w:r>
          </w:p>
        </w:tc>
        <w:tc>
          <w:tcPr>
            <w:tcW w:w="14459" w:type="dxa"/>
            <w:vAlign w:val="top"/>
          </w:tcPr>
          <w:p w14:paraId="3F5562E2" w14:textId="2029780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Business, Commerce and Management Studies</w:t>
            </w:r>
          </w:p>
        </w:tc>
      </w:tr>
      <w:tr w:rsidR="00484777" w:rsidRPr="008B6C93" w14:paraId="2F93D6D7" w14:textId="77777777" w:rsidTr="00484777">
        <w:trPr/>
        <w:tc>
          <w:tcPr>
            <w:tcW w:w="567" w:type="dxa"/>
            <w:vAlign w:val="top"/>
          </w:tcPr>
          <w:p w14:paraId="4C3E762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3</w:t>
            </w:r>
          </w:p>
        </w:tc>
        <w:tc>
          <w:tcPr>
            <w:tcW w:w="14459" w:type="dxa"/>
            <w:vAlign w:val="top"/>
          </w:tcPr>
          <w:p w14:paraId="134740F6" w14:textId="71EF337B"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Communication Studies and Language</w:t>
            </w:r>
          </w:p>
        </w:tc>
      </w:tr>
      <w:tr w:rsidR="00484777" w:rsidRPr="008B6C93" w14:paraId="091A200B" w14:textId="77777777" w:rsidTr="00484777">
        <w:trPr/>
        <w:tc>
          <w:tcPr>
            <w:tcW w:w="567" w:type="dxa"/>
            <w:vAlign w:val="top"/>
          </w:tcPr>
          <w:p w14:paraId="55A5B5CB"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4</w:t>
            </w:r>
          </w:p>
        </w:tc>
        <w:tc>
          <w:tcPr>
            <w:tcW w:w="14459" w:type="dxa"/>
            <w:vAlign w:val="top"/>
          </w:tcPr>
          <w:p w14:paraId="513C15B8" w14:textId="0096EEB2"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Culture and the Arts</w:t>
            </w:r>
          </w:p>
        </w:tc>
      </w:tr>
      <w:tr w:rsidR="00484777" w:rsidRPr="008B6C93" w14:paraId="01A5F9B3" w14:textId="77777777" w:rsidTr="00484777">
        <w:trPr/>
        <w:tc>
          <w:tcPr>
            <w:tcW w:w="567" w:type="dxa"/>
            <w:vAlign w:val="top"/>
          </w:tcPr>
          <w:p w14:paraId="4A4C0490"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5</w:t>
            </w:r>
          </w:p>
        </w:tc>
        <w:tc>
          <w:tcPr>
            <w:tcW w:w="14459" w:type="dxa"/>
            <w:vAlign w:val="top"/>
          </w:tcPr>
          <w:p w14:paraId="6157D57D" w14:textId="394FE3A1"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Education, Training and Development</w:t>
            </w:r>
          </w:p>
        </w:tc>
      </w:tr>
      <w:tr w:rsidR="00484777" w:rsidRPr="008B6C93" w14:paraId="15437FA5" w14:textId="77777777" w:rsidTr="00484777">
        <w:trPr/>
        <w:tc>
          <w:tcPr>
            <w:tcW w:w="567" w:type="dxa"/>
            <w:vAlign w:val="top"/>
          </w:tcPr>
          <w:p w14:paraId="576900F9"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6</w:t>
            </w:r>
          </w:p>
        </w:tc>
        <w:tc>
          <w:tcPr>
            <w:tcW w:w="14459" w:type="dxa"/>
            <w:vAlign w:val="top"/>
          </w:tcPr>
          <w:p w14:paraId="72572C18" w14:textId="48DC5D79"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Manufacturing, Engineering and Technology</w:t>
            </w:r>
          </w:p>
        </w:tc>
      </w:tr>
      <w:tr w:rsidR="00484777" w:rsidRPr="008B6C93" w14:paraId="20F8F484" w14:textId="77777777" w:rsidTr="00484777">
        <w:trPr/>
        <w:tc>
          <w:tcPr>
            <w:tcW w:w="567" w:type="dxa"/>
            <w:vAlign w:val="top"/>
          </w:tcPr>
          <w:p w14:paraId="59849835"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7</w:t>
            </w:r>
          </w:p>
        </w:tc>
        <w:tc>
          <w:tcPr>
            <w:tcW w:w="14459" w:type="dxa"/>
            <w:vAlign w:val="top"/>
          </w:tcPr>
          <w:p w14:paraId="4ED01D18" w14:textId="48FAC2EC"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Human and Social Studies</w:t>
            </w:r>
          </w:p>
        </w:tc>
      </w:tr>
      <w:tr w:rsidR="00484777" w:rsidRPr="008B6C93" w14:paraId="54696A55" w14:textId="77777777" w:rsidTr="00484777">
        <w:trPr/>
        <w:tc>
          <w:tcPr>
            <w:tcW w:w="567" w:type="dxa"/>
            <w:vAlign w:val="top"/>
          </w:tcPr>
          <w:p w14:paraId="09C93AC8"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8</w:t>
            </w:r>
          </w:p>
        </w:tc>
        <w:tc>
          <w:tcPr>
            <w:tcW w:w="14459" w:type="dxa"/>
            <w:vAlign w:val="top"/>
          </w:tcPr>
          <w:p w14:paraId="07E0C16F" w14:textId="5714BB03"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Law, Military Science and Security</w:t>
            </w:r>
          </w:p>
        </w:tc>
      </w:tr>
      <w:tr w:rsidR="00484777" w:rsidRPr="008B6C93" w14:paraId="24343AB2" w14:textId="77777777" w:rsidTr="00484777">
        <w:trPr/>
        <w:tc>
          <w:tcPr>
            <w:tcW w:w="567" w:type="dxa"/>
            <w:vAlign w:val="top"/>
          </w:tcPr>
          <w:p w14:paraId="6B2122C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9</w:t>
            </w:r>
          </w:p>
        </w:tc>
        <w:tc>
          <w:tcPr>
            <w:tcW w:w="14459" w:type="dxa"/>
            <w:vAlign w:val="top"/>
          </w:tcPr>
          <w:p w14:paraId="713F4B2F" w14:textId="515755C7"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Health Sciences and Social Services</w:t>
            </w:r>
          </w:p>
        </w:tc>
      </w:tr>
      <w:tr w:rsidR="00484777" w:rsidRPr="008B6C93" w14:paraId="320466B5" w14:textId="77777777" w:rsidTr="00484777">
        <w:trPr/>
        <w:tc>
          <w:tcPr>
            <w:tcW w:w="567" w:type="dxa"/>
            <w:vAlign w:val="top"/>
          </w:tcPr>
          <w:p w14:paraId="02BC7272"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10</w:t>
            </w:r>
          </w:p>
        </w:tc>
        <w:tc>
          <w:tcPr>
            <w:tcW w:w="14459" w:type="dxa"/>
            <w:vAlign w:val="top"/>
          </w:tcPr>
          <w:p w14:paraId="127F203C" w14:textId="1E829E8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Mathematical and Computer Sciences</w:t>
            </w:r>
          </w:p>
        </w:tc>
      </w:tr>
      <w:tr w:rsidR="00484777" w:rsidRPr="008B6C93" w14:paraId="62261864" w14:textId="77777777" w:rsidTr="00484777">
        <w:trPr/>
        <w:tc>
          <w:tcPr>
            <w:tcW w:w="567" w:type="dxa"/>
            <w:vAlign w:val="top"/>
          </w:tcPr>
          <w:p w14:paraId="6DE4EE1D"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11</w:t>
            </w:r>
          </w:p>
        </w:tc>
        <w:tc>
          <w:tcPr>
            <w:tcW w:w="14459" w:type="dxa"/>
            <w:vAlign w:val="top"/>
          </w:tcPr>
          <w:p w14:paraId="028FCFDE" w14:textId="14080506"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Physical Planning and Construction</w:t>
            </w:r>
          </w:p>
        </w:tc>
      </w:tr>
      <w:tr w:rsidR="00484777" w:rsidRPr="008B6C93" w14:paraId="68E938D4" w14:textId="77777777" w:rsidTr="00484777">
        <w:trPr/>
        <w:tc>
          <w:tcPr>
            <w:tcW w:w="567" w:type="dxa"/>
            <w:vAlign w:val="top"/>
          </w:tcPr>
          <w:p w14:paraId="6A829CA1" w14:textId="77777777" w:rsidR="00484777" w:rsidRPr="008B6C93" w:rsidRDefault="00484777" w:rsidP="00484777">
            <w:pPr>
              <w:pStyle w:val="ListParagraph"/>
              <w:spacing w:line="240" w:lineRule="auto" w:before="40" w:after="40"/>
              <w:ind w:left="0"/>
              <w:rPr>
                <w:rFonts w:ascii="Arial" w:hAnsi="Arial" w:eastAsia="Arial" w:cs="Arial"/>
                <w:lang w:val="en-US"/>
                <w:sz w:val="20"/>
                <w:szCs w:val="20"/>
              </w:rPr>
            </w:pPr>
            <w:r w:rsidRPr="008B6C93">
              <w:rPr>
                <w:rFonts w:ascii="Arial" w:hAnsi="Arial" w:eastAsia="Arial" w:cs="Arial"/>
                <w:lang w:val="en-US"/>
                <w:sz w:val="20"/>
                <w:szCs w:val="20"/>
              </w:rPr>
              <w:t>12</w:t>
            </w:r>
          </w:p>
        </w:tc>
        <w:tc>
          <w:tcPr>
            <w:tcW w:w="14459" w:type="dxa"/>
            <w:vAlign w:val="top"/>
          </w:tcPr>
          <w:p w14:paraId="2FBFB756" w14:textId="12B56D35" w:rsidR="00484777" w:rsidRPr="008B6C93" w:rsidRDefault="00484777" w:rsidP="00484777">
            <w:pPr>
              <w:spacing w:line="240" w:lineRule="auto" w:before="40" w:after="40"/>
              <w:contextualSpacing/>
              <w:rPr>
                <w:rFonts w:ascii="Arial" w:hAnsi="Arial" w:eastAsia="Arial" w:cs="Arial"/>
                <w:sz w:val="20"/>
                <w:szCs w:val="20"/>
              </w:rPr>
            </w:pPr>
            <w:r w:rsidRPr="008B6C93">
              <w:rPr>
                <w:rFonts w:ascii="Arial" w:hAnsi="Arial" w:eastAsia="Arial" w:cs="Arial"/>
                <w:sz w:val="20"/>
                <w:szCs w:val="20"/>
              </w:rPr>
              <w:t>Services and Life Sciences</w:t>
            </w:r>
          </w:p>
        </w:tc>
      </w:tr>
    </w:tbl>
    <w:p w14:paraId="77D6601B" w14:textId="77777777" w:rsidR="00C65B51" w:rsidRPr="008B6C93" w:rsidRDefault="00C65B51">
      <w:pPr>
        <w:spacing w:before="0" w:after="120"/>
        <w:rPr>
          <w:rFonts w:ascii="Arial" w:hAnsi="Arial" w:eastAsia="Arial" w:cs="Arial"/>
          <w:sz w:val="20"/>
          <w:szCs w:val="20"/>
        </w:rPr>
        <w:sectPr w:rsidR="00C65B51" w:rsidRPr="008B6C93">
          <w:pgSz w:w="16838" w:h="11906" w:orient="landscape"/>
          <w:pgMar w:top="850" w:right="907" w:bottom="850" w:left="907" w:header="397" w:footer="397" w:gutter="0"/>
          <w:cols w:space="720"/>
          <w:docGrid w:linePitch="360"/>
        </w:sectPr>
      </w:pPr>
    </w:p>
    <w:p w14:paraId="7631D47B"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Module Outcomes and Fields of Learning</w:t>
      </w:r>
    </w:p>
    <w:p w14:paraId="7ED621AA" w14:textId="467050DF" w:rsidR="00C65B51" w:rsidRPr="008B6C93" w:rsidRDefault="00000000" w:rsidP="00484777">
      <w:pPr>
        <w:keepNext/>
        <w:spacing w:before="0" w:after="120"/>
        <w:jc w:val="both"/>
        <w:rPr>
          <w:rFonts w:ascii="Arial" w:hAnsi="Arial" w:eastAsia="Arial" w:cs="Arial"/>
          <w:sz w:val="20"/>
          <w:szCs w:val="20"/>
        </w:rPr>
      </w:pPr>
      <w:r>
        <w:rPr>
          <w:rFonts w:ascii="Arial" w:hAnsi="Arial" w:eastAsia="Arial" w:cs="Arial"/>
          <w:sz w:val="20"/>
          <w:szCs w:val="20"/>
        </w:rPr>
        <w:t>The following matrix uses proposed broad-field and subfield classifications. Qualification outcomes are coded EO1 to EO6; detailed outcomes and indicative assessment evidence follow the matrix.</w:t>
      </w:r>
    </w:p>
    <w:p w14:paraId="70B16971" w14:textId="77777777" w:rsidR="00C65B51" w:rsidRPr="008B6C93" w:rsidRDefault="00000000">
      <w:pPr>
        <w:spacing w:before="0" w:after="120"/>
        <w:rPr>
          <w:rFonts w:ascii="Arial" w:hAnsi="Arial" w:eastAsia="Arial" w:cs="Arial"/>
          <w:sz w:val="20"/>
          <w:szCs w:val="20"/>
        </w:rPr>
      </w:pPr>
      <w:r>
        <w:rPr>
          <w:rFonts w:ascii="Arial" w:hAnsi="Arial" w:eastAsia="Arial" w:cs="Arial"/>
          <w:sz w:val="20"/>
          <w:szCs w:val="20"/>
        </w:rPr>
        <w:t>Yr = year; Sem = semester; L = NQF level; Cr = credits; NH = notional hours; CH = contact hours. All ten modules are compulsory and at Level 5.</w:t>
      </w:r>
    </w:p>
    <w:tbl>
      <w:tblPr>
        <w:tblW w:w="14883"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000" w:firstRow="0" w:lastRow="0" w:firstColumn="0" w:lastColumn="0" w:noHBand="0" w:noVBand="0"/>
      </w:tblPr>
      <w:tblGrid>
        <w:gridCol w:w="567"/>
        <w:gridCol w:w="1474"/>
        <w:gridCol w:w="425"/>
        <w:gridCol w:w="567"/>
        <w:gridCol w:w="1814"/>
        <w:gridCol w:w="3033"/>
        <w:gridCol w:w="425"/>
        <w:gridCol w:w="425"/>
        <w:gridCol w:w="709"/>
        <w:gridCol w:w="1417"/>
        <w:gridCol w:w="567"/>
        <w:gridCol w:w="1757"/>
        <w:gridCol w:w="1701"/>
      </w:tblGrid>
      <w:tr w:rsidR="00484777" w:rsidRPr="008B6C93" w14:paraId="3EDCF111" w14:textId="77777777" w:rsidTr="008862B1">
        <w:trPr>
          <w:trHeight w:val="1587" w:hRule="atLeast"/>
          <w:tblHeader/>
        </w:trPr>
        <w:tc>
          <w:tcPr>
            <w:tcW w:w="56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C3BA02E"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67CD209"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Code</w:t>
            </w:r>
          </w:p>
        </w:tc>
        <w:tc>
          <w:tcPr>
            <w:tcW w:w="425"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0D928E7F"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Year </w:t>
            </w:r>
            <w:r w:rsidRPr="008B6C93">
              <w:rPr>
                <w:rStyle w:val="FootnoteReference"/>
                <w:rFonts w:ascii="Arial" w:hAnsi="Arial" w:eastAsia="Arial" w:cs="Arial"/>
                <w:b/>
                <w:sz w:val="20"/>
                <w:szCs w:val="20"/>
                <w:lang w:val="en-GB"/>
              </w:rPr>
              <w:footnoteReference w:id="8"/>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4A714ED7"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Semester </w:t>
            </w:r>
            <w:r w:rsidRPr="008B6C93">
              <w:rPr>
                <w:rStyle w:val="FootnoteReference"/>
                <w:rFonts w:ascii="Arial" w:hAnsi="Arial" w:eastAsia="Arial" w:cs="Arial"/>
                <w:b/>
                <w:sz w:val="20"/>
                <w:szCs w:val="20"/>
                <w:lang w:val="en-GB"/>
              </w:rPr>
              <w:footnoteReference w:id="9"/>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77EA6A7D" w14:textId="77777777" w:rsidR="00484777" w:rsidRPr="008B6C93" w:rsidRDefault="00484777" w:rsidP="008862B1">
            <w:pPr>
              <w:pStyle w:val="BodyA"/>
              <w:keepNext/>
              <w:spacing w:after="40" w:line="240" w:lineRule="auto" w:before="4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 xml:space="preserve">Module Title </w:t>
            </w:r>
          </w:p>
        </w:tc>
        <w:tc>
          <w:tcPr>
            <w:tcW w:w="3033" w:type="dxa"/>
            <w:tcBorders>
              <w:top w:val="single" w:sz="4" w:space="0" w:color="000000"/>
              <w:left w:val="single" w:sz="4" w:space="0" w:color="000000"/>
              <w:bottom w:val="single" w:sz="4" w:space="0" w:color="000000"/>
              <w:right w:val="single" w:sz="4" w:space="0" w:color="000000"/>
            </w:tcBorders>
            <w:shd w:val="clear" w:color="auto" w:fill="D9D9D9"/>
            <w:vAlign w:val="top"/>
          </w:tcPr>
          <w:p w14:paraId="77043C3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Learning Outcomes</w:t>
            </w:r>
            <w:r w:rsidRPr="008B6C93">
              <w:rPr>
                <w:rStyle w:val="FootnoteReference"/>
                <w:rFonts w:ascii="Arial" w:hAnsi="Arial" w:eastAsia="Arial" w:cs="Arial"/>
                <w:b/>
                <w:sz w:val="20"/>
                <w:szCs w:val="20"/>
                <w:lang w:val="en-GB"/>
              </w:rPr>
              <w:footnoteReference w:id="10"/>
            </w:r>
            <w:r w:rsidRPr="008B6C93">
              <w:rPr>
                <w:rStyle w:val="None"/>
                <w:rFonts w:ascii="Arial" w:hAnsi="Arial" w:eastAsia="Arial" w:cs="Arial"/>
                <w:b/>
                <w:sz w:val="20"/>
                <w:szCs w:val="20"/>
                <w:lang w:val="en-GB"/>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7885E429"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NQF Level</w:t>
            </w:r>
          </w:p>
        </w:tc>
        <w:tc>
          <w:tcPr>
            <w:tcW w:w="425"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extDirection w:val="btLr"/>
            <w:vAlign w:val="top"/>
          </w:tcPr>
          <w:p w14:paraId="438EFA4C" w14:textId="77777777" w:rsidR="00484777" w:rsidRPr="008B6C93" w:rsidRDefault="00484777" w:rsidP="008862B1">
            <w:pPr>
              <w:pStyle w:val="BodyA"/>
              <w:keepNext/>
              <w:spacing w:after="0" w:line="240" w:lineRule="auto" w:before="0"/>
              <w:ind w:left="0" w:right="0"/>
              <w:contextualSpacing/>
              <w:jc w:val="left"/>
              <w:rPr>
                <w:rFonts w:ascii="Arial" w:hAnsi="Arial" w:eastAsia="Arial" w:cs="Arial"/>
                <w:sz w:val="20"/>
                <w:szCs w:val="20"/>
                <w:lang w:val="en-GB"/>
              </w:rPr>
            </w:pPr>
            <w:r w:rsidRPr="008B6C93">
              <w:rPr>
                <w:rStyle w:val="None"/>
                <w:rFonts w:ascii="Arial" w:hAnsi="Arial" w:eastAsia="Arial" w:cs="Arial"/>
                <w:b/>
                <w:sz w:val="20"/>
                <w:szCs w:val="20"/>
                <w:lang w:val="en-GB"/>
              </w:rPr>
              <w:t>Credits</w:t>
            </w:r>
          </w:p>
        </w:tc>
        <w:tc>
          <w:tcPr>
            <w:tcW w:w="709"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5F2503C2"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Notional Hours </w:t>
            </w:r>
          </w:p>
        </w:tc>
        <w:tc>
          <w:tcPr>
            <w:tcW w:w="1417" w:type="dxa"/>
            <w:tcBorders>
              <w:top w:val="single" w:sz="4" w:space="0" w:color="000000"/>
              <w:left w:val="single" w:sz="4" w:space="0" w:color="000000"/>
              <w:bottom w:val="single" w:sz="4" w:space="0" w:color="000000"/>
              <w:right w:val="single" w:sz="4" w:space="0" w:color="000000"/>
            </w:tcBorders>
            <w:shd w:val="clear" w:color="auto" w:fill="D9D9D9"/>
            <w:vAlign w:val="top"/>
          </w:tcPr>
          <w:p w14:paraId="2A0E14A0"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Pre-requisites</w:t>
            </w:r>
          </w:p>
        </w:tc>
        <w:tc>
          <w:tcPr>
            <w:tcW w:w="567" w:type="dxa"/>
            <w:tcBorders>
              <w:top w:val="single" w:sz="4" w:space="0" w:color="000000"/>
              <w:left w:val="single" w:sz="4" w:space="0" w:color="000000"/>
              <w:bottom w:val="single" w:sz="4" w:space="0" w:color="000000"/>
              <w:right w:val="single" w:sz="4" w:space="0" w:color="000000"/>
            </w:tcBorders>
            <w:shd w:val="clear" w:color="auto" w:fill="D9D9D9"/>
            <w:textDirection w:val="btLr"/>
            <w:vAlign w:val="top"/>
          </w:tcPr>
          <w:p w14:paraId="793A0E38" w14:textId="77777777" w:rsidR="00484777" w:rsidRPr="008B6C93" w:rsidRDefault="00484777" w:rsidP="008862B1">
            <w:pPr>
              <w:pStyle w:val="BodyA"/>
              <w:keepNext/>
              <w:spacing w:after="0" w:line="240" w:lineRule="auto" w:before="0"/>
              <w:ind w:left="0" w:right="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Contact Hours </w:t>
            </w:r>
          </w:p>
        </w:tc>
        <w:tc>
          <w:tcPr>
            <w:tcW w:w="1757" w:type="dxa"/>
            <w:tcBorders>
              <w:top w:val="single" w:sz="4" w:space="0" w:color="000000"/>
              <w:left w:val="single" w:sz="4" w:space="0" w:color="000000"/>
              <w:bottom w:val="single" w:sz="4" w:space="0" w:color="000000"/>
              <w:right w:val="single" w:sz="4" w:space="0" w:color="000000"/>
            </w:tcBorders>
            <w:shd w:val="clear" w:color="auto" w:fill="D9D9D9"/>
            <w:vAlign w:val="top"/>
          </w:tcPr>
          <w:p w14:paraId="43408137"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Field</w:t>
            </w:r>
            <w:r w:rsidRPr="008B6C93">
              <w:rPr>
                <w:rStyle w:val="FootnoteReference"/>
                <w:rFonts w:ascii="Arial" w:hAnsi="Arial" w:eastAsia="Arial" w:cs="Arial"/>
                <w:b/>
                <w:sz w:val="20"/>
                <w:szCs w:val="20"/>
                <w:lang w:val="en-GB"/>
              </w:rPr>
              <w:footnoteReference w:id="11"/>
            </w:r>
          </w:p>
        </w:tc>
        <w:tc>
          <w:tcPr>
            <w:tcW w:w="1701" w:type="dxa"/>
            <w:tcBorders>
              <w:top w:val="single" w:sz="4" w:space="0" w:color="000000"/>
              <w:left w:val="single" w:sz="4" w:space="0" w:color="000000"/>
              <w:bottom w:val="single" w:sz="4" w:space="0" w:color="000000"/>
              <w:right w:val="single" w:sz="4" w:space="0" w:color="000000"/>
            </w:tcBorders>
            <w:shd w:val="clear" w:color="auto" w:fill="D9D9D9"/>
            <w:vAlign w:val="top"/>
          </w:tcPr>
          <w:p w14:paraId="1CA9F306" w14:textId="77777777" w:rsidR="00484777" w:rsidRPr="008B6C93" w:rsidRDefault="00484777"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Sub-Field</w:t>
            </w:r>
            <w:r w:rsidRPr="008B6C93">
              <w:rPr>
                <w:rStyle w:val="FootnoteReference"/>
                <w:rFonts w:ascii="Arial" w:hAnsi="Arial" w:eastAsia="Arial" w:cs="Arial"/>
                <w:b/>
                <w:sz w:val="20"/>
                <w:szCs w:val="20"/>
                <w:lang w:val="en-GB"/>
              </w:rPr>
              <w:footnoteReference w:id="12"/>
            </w:r>
            <w:r w:rsidRPr="008B6C93">
              <w:rPr>
                <w:rStyle w:val="None"/>
                <w:rFonts w:ascii="Arial" w:hAnsi="Arial" w:eastAsia="Arial" w:cs="Arial"/>
                <w:b/>
                <w:sz w:val="20"/>
                <w:szCs w:val="20"/>
                <w:lang w:val="en-GB"/>
              </w:rPr>
              <w:t xml:space="preserve"> </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English for Communication and Academic Writing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audience and purpose to select an appropriate academic or workplace communication format.</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Communication Studies and Language</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English communication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Principles of Information Systems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how people, processes, data and technology interact in an organisational information system.</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Physical, Mathematical and Computer Sciences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Information systems</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Local Governance and Administrative Ethics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the roles of councils, officials and citizens in local governance.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Business, Commerce and Management Studies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Local Governance and Municipal Administration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Records and Administrative Systems</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Map a municipal administrative workflow and its information needs.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Business, Commerce and Management Studies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Local Governance and Municipal Administration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LGFR-5105</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Finance and Revenue Administration</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the relationship between municipal budgets, revenue and services.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14</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140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None</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84</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Business, Commerce and Management Studies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Local Governance and Municipal Administration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LGSD-5206</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Service Delivery and Asset Monitoring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Interpret service standards and asset information in a municipal case.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 LGFR-5105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Business, Commerce and Management Studies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Local Governance and Municipal Administration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LGPA-5207</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Procurement and Contract Administration</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Explain the administrative stages of a controlled procurement process.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 LGFR-5105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60</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Business, Commerce and Management Studies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Local Governance and Municipal Administration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LGCP-5208</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Community Participation and Development Planning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Analyse stakeholder interests and barriers to participation.</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 LGRA-5104</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Business, Commerce and Management Studies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Local Governance and Municipal Administration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LGPM-5209</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Municipal Project Monitoring and Reporting</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Define project outputs, activities and measurable indicators.</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12</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120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 LGFR-5105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72</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Business, Commerce and Management Studies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Local Governance and Municipal Administration</w:t>
            </w:r>
          </w:p>
        </w:tc>
      </w:tr>
      <w:tr w:rsidR="00FF096D" w:rsidRPr="008B6C93" w14:paraId="15ECC3B8" w14:textId="77777777" w:rsidTr="00BA69FF">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1474"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LGIP-5210</w:t>
            </w:r>
          </w:p>
        </w:tc>
        <w:tc>
          <w:tcPr>
            <w:tcW w:w="425"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Integrated Municipal Service Improvement Project</w:t>
            </w:r>
          </w:p>
        </w:tc>
        <w:tc>
          <w:tcPr>
            <w:tcW w:w="3033"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Define a municipal service problem using a supplied evidence base.</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5</w:t>
            </w: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16</w:t>
            </w:r>
          </w:p>
        </w:tc>
        <w:tc>
          <w:tcPr>
            <w:tcW w:w="709"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160</w:t>
            </w:r>
          </w:p>
        </w:tc>
        <w:tc>
          <w:tcPr>
            <w:tcW w:w="141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 LGRA-5104, LGFR-5105</w:t>
            </w:r>
          </w:p>
        </w:tc>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96</w:t>
            </w:r>
          </w:p>
        </w:tc>
        <w:tc>
          <w:tcPr>
            <w:tcW w:w="175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Business, Commerce and Management Studies</w:t>
            </w:r>
          </w:p>
        </w:tc>
        <w:tc>
          <w:tcPr>
            <w:tcW w:w="1701"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Local Governance and Municipal Administration</w:t>
            </w:r>
          </w:p>
        </w:tc>
      </w:tr>
    </w:tbl>
    <w:p w14:paraId="5E53A1A1" w14:textId="77777777" w:rsidR="00FF096D" w:rsidRPr="008B6C93" w:rsidRDefault="00FF096D">
      <w:pPr>
        <w:spacing w:before="0" w:after="120"/>
        <w:rPr>
          <w:rFonts w:ascii="Arial" w:hAnsi="Arial" w:eastAsia="Arial" w:cs="Arial"/>
          <w:sz w:val="20"/>
          <w:szCs w:val="20"/>
        </w:rPr>
        <w:sectPr w:rsidR="00FF096D" w:rsidRPr="008B6C93">
          <w:pgSz w:w="16838" w:h="11906" w:orient="landscape"/>
          <w:pgMar w:top="850" w:right="907" w:bottom="850" w:left="907" w:header="397" w:footer="397" w:gutter="0"/>
          <w:cols w:space="720"/>
          <w:docGrid w:linePitch="360"/>
        </w:sectPr>
      </w:pPr>
    </w:p>
    <w:p w14:paraId="61A0489C" w14:textId="6E27D45E" w:rsidR="00FF096D" w:rsidRPr="008B6C93" w:rsidRDefault="00FF096D">
      <w:pPr>
        <w:keepNext/>
        <w:spacing w:before="0" w:after="120"/>
        <w:rPr>
          <w:rFonts w:ascii="Arial" w:hAnsi="Arial" w:eastAsia="Arial" w:cs="Arial"/>
          <w:b/>
          <w:bCs/>
          <w:sz w:val="20"/>
          <w:szCs w:val="20"/>
        </w:rPr>
      </w:pPr>
      <w:r w:rsidRPr="008B6C93">
        <w:rPr>
          <w:rFonts w:ascii="Arial" w:hAnsi="Arial" w:eastAsia="Arial" w:cs="Arial"/>
          <w:b/>
          <w:bCs/>
          <w:sz w:val="20"/>
          <w:szCs w:val="20"/>
        </w:rPr>
        <w:t>Detailed</w:t>
      </w:r>
      <w:r w:rsidR="00594976" w:rsidRPr="008B6C93">
        <w:rPr>
          <w:rFonts w:ascii="Arial" w:hAnsi="Arial" w:eastAsia="Arial" w:cs="Arial"/>
          <w:b/>
          <w:bCs/>
          <w:sz w:val="20"/>
          <w:szCs w:val="20"/>
        </w:rPr>
        <w:t xml:space="preserve"> Outcomes of Learning </w:t>
      </w:r>
    </w:p>
    <w:tbl>
      <w:tblPr>
        <w:tblW w:w="1006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1474"/>
        <w:gridCol w:w="1814"/>
        <w:gridCol w:w="3685"/>
        <w:gridCol w:w="1247"/>
        <w:gridCol w:w="850"/>
        <w:gridCol w:w="992"/>
      </w:tblGrid>
      <w:tr w:rsidR="00374014" w:rsidRPr="008B6C93" w14:paraId="3C18A14A" w14:textId="0FD14FEE" w:rsidTr="00374014">
        <w:trPr>
          <w:tblHeader/>
        </w:trPr>
        <w:tc>
          <w:tcPr>
            <w:tcW w:w="1474" w:type="dxa"/>
            <w:tcBorders>
              <w:top w:val="single" w:sz="4" w:space="0" w:color="000000"/>
              <w:left w:val="single" w:sz="4" w:space="0" w:color="000000"/>
              <w:bottom w:val="single" w:sz="4" w:space="0" w:color="000000"/>
              <w:right w:val="single" w:sz="4" w:space="0" w:color="000000"/>
            </w:tcBorders>
            <w:shd w:val="clear" w:color="auto" w:fill="D9D9D9"/>
            <w:vAlign w:val="top"/>
          </w:tcPr>
          <w:p w14:paraId="5D0E66DB"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Code </w:t>
            </w:r>
          </w:p>
        </w:tc>
        <w:tc>
          <w:tcPr>
            <w:tcW w:w="1814"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0C8CC5C4"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 xml:space="preserve">Course Title </w:t>
            </w:r>
          </w:p>
        </w:tc>
        <w:tc>
          <w:tcPr>
            <w:tcW w:w="3685" w:type="dxa"/>
            <w:tcBorders>
              <w:top w:val="single" w:sz="4" w:space="0" w:color="000000"/>
              <w:left w:val="single" w:sz="4" w:space="0" w:color="000000"/>
              <w:bottom w:val="single" w:sz="4" w:space="0" w:color="000000"/>
              <w:right w:val="single" w:sz="4" w:space="0" w:color="000000"/>
            </w:tcBorders>
            <w:shd w:val="clear" w:color="auto" w:fill="D9D9D9"/>
            <w:vAlign w:val="top"/>
          </w:tcPr>
          <w:p w14:paraId="0F8B9A64"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Outcomes of Learning</w:t>
            </w:r>
          </w:p>
          <w:p w14:paraId="79AEABEA" w14:textId="77777777" w:rsidR="00374014" w:rsidRPr="008B6C93" w:rsidRDefault="00374014" w:rsidP="008862B1">
            <w:pPr>
              <w:keepNext/>
              <w:spacing w:line="240" w:lineRule="auto" w:before="0" w:after="0"/>
              <w:contextualSpacing/>
              <w:jc w:val="left"/>
              <w:rPr>
                <w:rFonts w:ascii="Arial" w:hAnsi="Arial" w:eastAsia="Arial" w:cs="Arial"/>
                <w:i/>
                <w:iCs/>
                <w:sz w:val="20"/>
                <w:szCs w:val="20"/>
              </w:rPr>
            </w:pPr>
            <w:r w:rsidRPr="008B6C93">
              <w:rPr>
                <w:rFonts w:ascii="Arial" w:hAnsi="Arial" w:eastAsia="Arial" w:cs="Arial"/>
                <w:b/>
                <w:i/>
                <w:iCs/>
                <w:sz w:val="20"/>
                <w:szCs w:val="20"/>
              </w:rPr>
              <w:t>Upon completing the course, students will be able to:</w:t>
            </w:r>
          </w:p>
        </w:tc>
        <w:tc>
          <w:tcPr>
            <w:tcW w:w="1247" w:type="dxa"/>
            <w:tcBorders>
              <w:top w:val="single" w:sz="4" w:space="0" w:color="000000"/>
              <w:left w:val="single" w:sz="4" w:space="0" w:color="000000"/>
              <w:bottom w:val="single" w:sz="4" w:space="0" w:color="000000"/>
              <w:right w:val="single" w:sz="4" w:space="0" w:color="000000"/>
            </w:tcBorders>
            <w:shd w:val="clear" w:color="auto" w:fill="D9D9D9"/>
            <w:vAlign w:val="top"/>
          </w:tcPr>
          <w:p w14:paraId="3D063C0D" w14:textId="77777777" w:rsidR="00374014" w:rsidRPr="008B6C93" w:rsidRDefault="00374014" w:rsidP="008862B1">
            <w:pPr>
              <w:keepNext/>
              <w:spacing w:line="240" w:lineRule="auto" w:before="0" w:after="0"/>
              <w:contextualSpacing/>
              <w:jc w:val="left"/>
              <w:rPr>
                <w:rFonts w:ascii="Arial" w:hAnsi="Arial" w:eastAsia="Arial" w:cs="Arial"/>
                <w:b/>
                <w:bCs/>
                <w:sz w:val="20"/>
                <w:szCs w:val="20"/>
              </w:rPr>
            </w:pPr>
            <w:r w:rsidRPr="008B6C93">
              <w:rPr>
                <w:rFonts w:ascii="Arial" w:hAnsi="Arial" w:eastAsia="Arial" w:cs="Arial"/>
                <w:b/>
                <w:bCs/>
                <w:sz w:val="20"/>
                <w:szCs w:val="20"/>
              </w:rPr>
              <w:t>Pre-</w:t>
            </w:r>
          </w:p>
          <w:p w14:paraId="333A84EE" w14:textId="77777777" w:rsidR="00374014" w:rsidRPr="008B6C93" w:rsidRDefault="00374014" w:rsidP="008862B1">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szCs w:val="20"/>
              </w:rPr>
              <w:t>requisites</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670A7FDE"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Level</w:t>
            </w:r>
          </w:p>
        </w:tc>
        <w:tc>
          <w:tcPr>
            <w:tcW w:w="992"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vAlign w:val="top"/>
          </w:tcPr>
          <w:p w14:paraId="18D84696" w14:textId="77777777" w:rsidR="00374014" w:rsidRPr="008B6C93" w:rsidRDefault="00374014" w:rsidP="00374014">
            <w:pPr>
              <w:keepNext/>
              <w:spacing w:line="240" w:lineRule="auto" w:before="0" w:after="0"/>
              <w:contextualSpacing/>
              <w:jc w:val="left"/>
              <w:rPr>
                <w:rFonts w:ascii="Arial" w:hAnsi="Arial" w:eastAsia="Arial" w:cs="Arial"/>
                <w:b/>
                <w:bCs/>
                <w:u w:color="000000"/>
                <w:sz w:val="20"/>
                <w:szCs w:val="20"/>
              </w:rPr>
            </w:pPr>
            <w:r w:rsidRPr="008B6C93">
              <w:rPr>
                <w:rFonts w:ascii="Arial" w:hAnsi="Arial" w:eastAsia="Arial" w:cs="Arial"/>
                <w:b/>
                <w:bCs/>
                <w:sz w:val="20"/>
                <w:u w:color="000000"/>
                <w:szCs w:val="20"/>
              </w:rPr>
              <w:t>Credits</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ECAW-5101</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English for Communication and Academic Writing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audience and purpose to select an appropriate academic or workplace communication format.</w:t>
            </w:r>
          </w:p>
          <w:p>
            <w:pPr>
              <w:tabs>
                <w:tab w:pos="170" w:val="left"/>
              </w:tabs>
              <w:spacing w:before="0" w:after="0"/>
              <w:ind w:left="170" w:hanging="170"/>
            </w:pPr>
            <w:r>
              <w:rPr>
                <w:rFonts w:ascii="Arial" w:hAnsi="Arial" w:eastAsia="Arial" w:cs="Arial"/>
                <w:b w:val="0"/>
                <w:sz w:val="20"/>
                <w:szCs w:val="20"/>
              </w:rPr>
              <w:t>•</w:t>
              <w:tab/>
              <w:t>Locate and appraise sources using relevance, authority and corroboration checks.</w:t>
            </w:r>
          </w:p>
          <w:p>
            <w:pPr>
              <w:tabs>
                <w:tab w:pos="170" w:val="left"/>
              </w:tabs>
              <w:spacing w:before="0" w:after="0"/>
              <w:ind w:left="170" w:hanging="170"/>
            </w:pPr>
            <w:r>
              <w:rPr>
                <w:rFonts w:ascii="Arial" w:hAnsi="Arial" w:eastAsia="Arial" w:cs="Arial"/>
                <w:b w:val="0"/>
                <w:sz w:val="20"/>
                <w:szCs w:val="20"/>
              </w:rPr>
              <w:t>•</w:t>
              <w:tab/>
              <w:t>Construct a supported argument using accurate paragraph structure, evidence and consistent referencing.</w:t>
            </w:r>
          </w:p>
          <w:p>
            <w:pPr>
              <w:tabs>
                <w:tab w:pos="170" w:val="left"/>
              </w:tabs>
              <w:spacing w:before="0" w:after="0"/>
              <w:ind w:left="170" w:hanging="170"/>
            </w:pPr>
            <w:r>
              <w:rPr>
                <w:rFonts w:ascii="Arial" w:hAnsi="Arial" w:eastAsia="Arial" w:cs="Arial"/>
                <w:b w:val="0"/>
                <w:sz w:val="20"/>
                <w:szCs w:val="20"/>
              </w:rPr>
              <w:t>•</w:t>
              <w:tab/>
              <w:t>Deliver an accessible oral briefing and respond to questions using relevant evidence.</w:t>
            </w:r>
          </w:p>
          <w:p>
            <w:pPr>
              <w:tabs>
                <w:tab w:pos="170" w:val="left"/>
              </w:tabs>
              <w:spacing w:before="0" w:after="0"/>
              <w:ind w:left="170" w:hanging="170"/>
            </w:pPr>
            <w:r>
              <w:rPr>
                <w:rFonts w:ascii="Arial" w:hAnsi="Arial" w:eastAsia="Arial" w:cs="Arial"/>
                <w:b w:val="0"/>
                <w:sz w:val="20"/>
                <w:szCs w:val="20"/>
              </w:rPr>
              <w:t>•</w:t>
              <w:tab/>
              <w:t>Edit a report for clarity, grammar and ethical attribution, declaring any permitted AI assistance.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PISY-5102</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Principles of Information Systems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how people, processes, data and technology interact in an organisational information system.</w:t>
            </w:r>
          </w:p>
          <w:p>
            <w:pPr>
              <w:tabs>
                <w:tab w:pos="170" w:val="left"/>
              </w:tabs>
              <w:spacing w:before="0" w:after="0"/>
              <w:ind w:left="170" w:hanging="170"/>
            </w:pPr>
            <w:r>
              <w:rPr>
                <w:rFonts w:ascii="Arial" w:hAnsi="Arial" w:eastAsia="Arial" w:cs="Arial"/>
                <w:b w:val="0"/>
                <w:sz w:val="20"/>
                <w:szCs w:val="20"/>
              </w:rPr>
              <w:t>•</w:t>
              <w:tab/>
              <w:t>Organise and analyse a small dataset using a spreadsheet and document its quality checks.</w:t>
            </w:r>
          </w:p>
          <w:p>
            <w:pPr>
              <w:tabs>
                <w:tab w:pos="170" w:val="left"/>
              </w:tabs>
              <w:spacing w:before="0" w:after="0"/>
              <w:ind w:left="170" w:hanging="170"/>
            </w:pPr>
            <w:r>
              <w:rPr>
                <w:rFonts w:ascii="Arial" w:hAnsi="Arial" w:eastAsia="Arial" w:cs="Arial"/>
                <w:b w:val="0"/>
                <w:sz w:val="20"/>
                <w:szCs w:val="20"/>
              </w:rPr>
              <w:t>•</w:t>
              <w:tab/>
              <w:t>Evaluate digital information and AI-generated outputs by checking provenance, evidence, bias and fitness for purpose.</w:t>
            </w:r>
          </w:p>
          <w:p>
            <w:pPr>
              <w:tabs>
                <w:tab w:pos="170" w:val="left"/>
              </w:tabs>
              <w:spacing w:before="0" w:after="0"/>
              <w:ind w:left="170" w:hanging="170"/>
            </w:pPr>
            <w:r>
              <w:rPr>
                <w:rFonts w:ascii="Arial" w:hAnsi="Arial" w:eastAsia="Arial" w:cs="Arial"/>
                <w:b w:val="0"/>
                <w:sz w:val="20"/>
                <w:szCs w:val="20"/>
              </w:rPr>
              <w:t>•</w:t>
              <w:tab/>
              <w:t>Apply cybersecurity controls in a training environment, including secure authentication, phishing recognition, updates, backups and incident reporting.</w:t>
            </w:r>
          </w:p>
          <w:p>
            <w:pPr>
              <w:tabs>
                <w:tab w:pos="170" w:val="left"/>
              </w:tabs>
              <w:spacing w:before="0" w:after="0"/>
              <w:ind w:left="170" w:hanging="170"/>
            </w:pPr>
            <w:r>
              <w:rPr>
                <w:rFonts w:ascii="Arial" w:hAnsi="Arial" w:eastAsia="Arial" w:cs="Arial"/>
                <w:b w:val="0"/>
                <w:sz w:val="20"/>
                <w:szCs w:val="20"/>
              </w:rPr>
              <w:t>•</w:t>
              <w:tab/>
              <w:t>Propose a responsible information-system improvement that protects personal information and records human accountability for AI-assisted decisions.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LGGE-5103</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Local Governance and Administrative Ethics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the roles of councils, officials and citizens in local governance.</w:t>
            </w:r>
          </w:p>
          <w:p>
            <w:pPr>
              <w:tabs>
                <w:tab w:pos="170" w:val="left"/>
              </w:tabs>
              <w:spacing w:before="0" w:after="0"/>
              <w:ind w:left="170" w:hanging="170"/>
            </w:pPr>
            <w:r>
              <w:rPr>
                <w:rFonts w:ascii="Arial" w:hAnsi="Arial" w:eastAsia="Arial" w:cs="Arial"/>
                <w:b w:val="0"/>
                <w:sz w:val="20"/>
                <w:szCs w:val="20"/>
              </w:rPr>
              <w:t>•</w:t>
              <w:tab/>
              <w:t>Interpret a supplied statutory provision and identify administrative implications.</w:t>
            </w:r>
          </w:p>
          <w:p>
            <w:pPr>
              <w:tabs>
                <w:tab w:pos="170" w:val="left"/>
              </w:tabs>
              <w:spacing w:before="0" w:after="0"/>
              <w:ind w:left="170" w:hanging="170"/>
            </w:pPr>
            <w:r>
              <w:rPr>
                <w:rFonts w:ascii="Arial" w:hAnsi="Arial" w:eastAsia="Arial" w:cs="Arial"/>
                <w:b w:val="0"/>
                <w:sz w:val="20"/>
                <w:szCs w:val="20"/>
              </w:rPr>
              <w:t>•</w:t>
              <w:tab/>
              <w:t>Distinguish delegated authority from matters reserved for decision makers.</w:t>
            </w:r>
          </w:p>
          <w:p>
            <w:pPr>
              <w:tabs>
                <w:tab w:pos="170" w:val="left"/>
              </w:tabs>
              <w:spacing w:before="0" w:after="0"/>
              <w:ind w:left="170" w:hanging="170"/>
            </w:pPr>
            <w:r>
              <w:rPr>
                <w:rFonts w:ascii="Arial" w:hAnsi="Arial" w:eastAsia="Arial" w:cs="Arial"/>
                <w:b w:val="0"/>
                <w:sz w:val="20"/>
                <w:szCs w:val="20"/>
              </w:rPr>
              <w:t>•</w:t>
              <w:tab/>
              <w:t>Analyse conflicts of interest and recommend an accountable response.</w:t>
            </w:r>
          </w:p>
          <w:p>
            <w:pPr>
              <w:tabs>
                <w:tab w:pos="170" w:val="left"/>
              </w:tabs>
              <w:spacing w:before="0" w:after="0"/>
              <w:ind w:left="170" w:hanging="170"/>
            </w:pPr>
            <w:r>
              <w:rPr>
                <w:rFonts w:ascii="Arial" w:hAnsi="Arial" w:eastAsia="Arial" w:cs="Arial"/>
                <w:b w:val="0"/>
                <w:sz w:val="20"/>
                <w:szCs w:val="20"/>
              </w:rPr>
              <w:t>•</w:t>
              <w:tab/>
              <w:t>Prepare an evidence-based administrative recommendation with a clear audit trail.</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LGRA-5104</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Municipal Records and Administrative Systems</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Map a municipal administrative workflow and its information needs.</w:t>
            </w:r>
          </w:p>
          <w:p>
            <w:pPr>
              <w:tabs>
                <w:tab w:pos="170" w:val="left"/>
              </w:tabs>
              <w:spacing w:before="0" w:after="0"/>
              <w:ind w:left="170" w:hanging="170"/>
            </w:pPr>
            <w:r>
              <w:rPr>
                <w:rFonts w:ascii="Arial" w:hAnsi="Arial" w:eastAsia="Arial" w:cs="Arial"/>
                <w:b w:val="0"/>
                <w:sz w:val="20"/>
                <w:szCs w:val="20"/>
              </w:rPr>
              <w:t>•</w:t>
              <w:tab/>
              <w:t>Create a records classification and retrieval arrangement for sample files.</w:t>
            </w:r>
          </w:p>
          <w:p>
            <w:pPr>
              <w:tabs>
                <w:tab w:pos="170" w:val="left"/>
              </w:tabs>
              <w:spacing w:before="0" w:after="0"/>
              <w:ind w:left="170" w:hanging="170"/>
            </w:pPr>
            <w:r>
              <w:rPr>
                <w:rFonts w:ascii="Arial" w:hAnsi="Arial" w:eastAsia="Arial" w:cs="Arial"/>
                <w:b w:val="0"/>
                <w:sz w:val="20"/>
                <w:szCs w:val="20"/>
              </w:rPr>
              <w:t>•</w:t>
              <w:tab/>
              <w:t>Apply version, access and retention controls to a synthetic record set.</w:t>
            </w:r>
          </w:p>
          <w:p>
            <w:pPr>
              <w:tabs>
                <w:tab w:pos="170" w:val="left"/>
              </w:tabs>
              <w:spacing w:before="0" w:after="0"/>
              <w:ind w:left="170" w:hanging="170"/>
            </w:pPr>
            <w:r>
              <w:rPr>
                <w:rFonts w:ascii="Arial" w:hAnsi="Arial" w:eastAsia="Arial" w:cs="Arial"/>
                <w:b w:val="0"/>
                <w:sz w:val="20"/>
                <w:szCs w:val="20"/>
              </w:rPr>
              <w:t>•</w:t>
              <w:tab/>
              <w:t>Prepare accurate agendas, minutes and action records.</w:t>
            </w:r>
          </w:p>
          <w:p>
            <w:pPr>
              <w:tabs>
                <w:tab w:pos="170" w:val="left"/>
              </w:tabs>
              <w:spacing w:before="0" w:after="0"/>
              <w:ind w:left="170" w:hanging="170"/>
            </w:pPr>
            <w:r>
              <w:rPr>
                <w:rFonts w:ascii="Arial" w:hAnsi="Arial" w:eastAsia="Arial" w:cs="Arial"/>
                <w:b w:val="0"/>
                <w:sz w:val="20"/>
                <w:szCs w:val="20"/>
              </w:rPr>
              <w:t>•</w:t>
              <w:tab/>
              <w:t>Evaluate process weaknesses and propose an auditable improvement.</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LGFR-5105</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Municipal Finance and Revenue Administration</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the relationship between municipal budgets, revenue and services.</w:t>
            </w:r>
          </w:p>
          <w:p>
            <w:pPr>
              <w:tabs>
                <w:tab w:pos="170" w:val="left"/>
              </w:tabs>
              <w:spacing w:before="0" w:after="0"/>
              <w:ind w:left="170" w:hanging="170"/>
            </w:pPr>
            <w:r>
              <w:rPr>
                <w:rFonts w:ascii="Arial" w:hAnsi="Arial" w:eastAsia="Arial" w:cs="Arial"/>
                <w:b w:val="0"/>
                <w:sz w:val="20"/>
                <w:szCs w:val="20"/>
              </w:rPr>
              <w:t>•</w:t>
              <w:tab/>
              <w:t>Prepare basic revenue calculations and reconciliations using supplied data.</w:t>
            </w:r>
          </w:p>
          <w:p>
            <w:pPr>
              <w:tabs>
                <w:tab w:pos="170" w:val="left"/>
              </w:tabs>
              <w:spacing w:before="0" w:after="0"/>
              <w:ind w:left="170" w:hanging="170"/>
            </w:pPr>
            <w:r>
              <w:rPr>
                <w:rFonts w:ascii="Arial" w:hAnsi="Arial" w:eastAsia="Arial" w:cs="Arial"/>
                <w:b w:val="0"/>
                <w:sz w:val="20"/>
                <w:szCs w:val="20"/>
              </w:rPr>
              <w:t>•</w:t>
              <w:tab/>
              <w:t>Interpret budget and expenditure variances.</w:t>
            </w:r>
          </w:p>
          <w:p>
            <w:pPr>
              <w:tabs>
                <w:tab w:pos="170" w:val="left"/>
              </w:tabs>
              <w:spacing w:before="0" w:after="0"/>
              <w:ind w:left="170" w:hanging="170"/>
            </w:pPr>
            <w:r>
              <w:rPr>
                <w:rFonts w:ascii="Arial" w:hAnsi="Arial" w:eastAsia="Arial" w:cs="Arial"/>
                <w:b w:val="0"/>
                <w:sz w:val="20"/>
                <w:szCs w:val="20"/>
              </w:rPr>
              <w:t>•</w:t>
              <w:tab/>
              <w:t>Identify control weaknesses in billing, collection and payment scenarios.</w:t>
            </w:r>
          </w:p>
          <w:p>
            <w:pPr>
              <w:tabs>
                <w:tab w:pos="170" w:val="left"/>
              </w:tabs>
              <w:spacing w:before="0" w:after="0"/>
              <w:ind w:left="170" w:hanging="170"/>
            </w:pPr>
            <w:r>
              <w:rPr>
                <w:rFonts w:ascii="Arial" w:hAnsi="Arial" w:eastAsia="Arial" w:cs="Arial"/>
                <w:b w:val="0"/>
                <w:sz w:val="20"/>
                <w:szCs w:val="20"/>
              </w:rPr>
              <w:t>•</w:t>
              <w:tab/>
              <w:t>Prepare a financial-administration brief distinguishing evidence from estimates.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None</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14</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LGSD-5206</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Municipal Service Delivery and Asset Monitoring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Interpret service standards and asset information in a municipal case.</w:t>
            </w:r>
          </w:p>
          <w:p>
            <w:pPr>
              <w:tabs>
                <w:tab w:pos="170" w:val="left"/>
              </w:tabs>
              <w:spacing w:before="0" w:after="0"/>
              <w:ind w:left="170" w:hanging="170"/>
            </w:pPr>
            <w:r>
              <w:rPr>
                <w:rFonts w:ascii="Arial" w:hAnsi="Arial" w:eastAsia="Arial" w:cs="Arial"/>
                <w:b w:val="0"/>
                <w:sz w:val="20"/>
                <w:szCs w:val="20"/>
              </w:rPr>
              <w:t>•</w:t>
              <w:tab/>
              <w:t>Select indicators for service continuity, access and reliability.</w:t>
            </w:r>
          </w:p>
          <w:p>
            <w:pPr>
              <w:tabs>
                <w:tab w:pos="170" w:val="left"/>
              </w:tabs>
              <w:spacing w:before="0" w:after="0"/>
              <w:ind w:left="170" w:hanging="170"/>
            </w:pPr>
            <w:r>
              <w:rPr>
                <w:rFonts w:ascii="Arial" w:hAnsi="Arial" w:eastAsia="Arial" w:cs="Arial"/>
                <w:b w:val="0"/>
                <w:sz w:val="20"/>
                <w:szCs w:val="20"/>
              </w:rPr>
              <w:t>•</w:t>
              <w:tab/>
              <w:t>Analyse complaints and operational records to identify service gaps.</w:t>
            </w:r>
          </w:p>
          <w:p>
            <w:pPr>
              <w:tabs>
                <w:tab w:pos="170" w:val="left"/>
              </w:tabs>
              <w:spacing w:before="0" w:after="0"/>
              <w:ind w:left="170" w:hanging="170"/>
            </w:pPr>
            <w:r>
              <w:rPr>
                <w:rFonts w:ascii="Arial" w:hAnsi="Arial" w:eastAsia="Arial" w:cs="Arial"/>
                <w:b w:val="0"/>
                <w:sz w:val="20"/>
                <w:szCs w:val="20"/>
              </w:rPr>
              <w:t>•</w:t>
              <w:tab/>
              <w:t>Prioritise maintenance requests using risk and resource constraints.</w:t>
            </w:r>
          </w:p>
          <w:p>
            <w:pPr>
              <w:tabs>
                <w:tab w:pos="170" w:val="left"/>
              </w:tabs>
              <w:spacing w:before="0" w:after="0"/>
              <w:ind w:left="170" w:hanging="170"/>
            </w:pPr>
            <w:r>
              <w:rPr>
                <w:rFonts w:ascii="Arial" w:hAnsi="Arial" w:eastAsia="Arial" w:cs="Arial"/>
                <w:b w:val="0"/>
                <w:sz w:val="20"/>
                <w:szCs w:val="20"/>
              </w:rPr>
              <w:t>•</w:t>
              <w:tab/>
              <w:t>Prepare a service-monitoring report and follow-up action schedule.</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LGRA-5104, LGFR-5105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LGPA-5207</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Procurement and Contract Administration</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Explain the administrative stages of a controlled procurement process.</w:t>
            </w:r>
          </w:p>
          <w:p>
            <w:pPr>
              <w:tabs>
                <w:tab w:pos="170" w:val="left"/>
              </w:tabs>
              <w:spacing w:before="0" w:after="0"/>
              <w:ind w:left="170" w:hanging="170"/>
            </w:pPr>
            <w:r>
              <w:rPr>
                <w:rFonts w:ascii="Arial" w:hAnsi="Arial" w:eastAsia="Arial" w:cs="Arial"/>
                <w:b w:val="0"/>
                <w:sz w:val="20"/>
                <w:szCs w:val="20"/>
              </w:rPr>
              <w:t>•</w:t>
              <w:tab/>
              <w:t>Prepare a requirements schedule without favouring a supplier.</w:t>
            </w:r>
          </w:p>
          <w:p>
            <w:pPr>
              <w:tabs>
                <w:tab w:pos="170" w:val="left"/>
              </w:tabs>
              <w:spacing w:before="0" w:after="0"/>
              <w:ind w:left="170" w:hanging="170"/>
            </w:pPr>
            <w:r>
              <w:rPr>
                <w:rFonts w:ascii="Arial" w:hAnsi="Arial" w:eastAsia="Arial" w:cs="Arial"/>
                <w:b w:val="0"/>
                <w:sz w:val="20"/>
                <w:szCs w:val="20"/>
              </w:rPr>
              <w:t>•</w:t>
              <w:tab/>
              <w:t>Check sample bid documentation against predetermined administrative criteria.</w:t>
            </w:r>
          </w:p>
          <w:p>
            <w:pPr>
              <w:tabs>
                <w:tab w:pos="170" w:val="left"/>
              </w:tabs>
              <w:spacing w:before="0" w:after="0"/>
              <w:ind w:left="170" w:hanging="170"/>
            </w:pPr>
            <w:r>
              <w:rPr>
                <w:rFonts w:ascii="Arial" w:hAnsi="Arial" w:eastAsia="Arial" w:cs="Arial"/>
                <w:b w:val="0"/>
                <w:sz w:val="20"/>
                <w:szCs w:val="20"/>
              </w:rPr>
              <w:t>•</w:t>
              <w:tab/>
              <w:t>Maintain a contract-delivery and variation register.</w:t>
            </w:r>
          </w:p>
          <w:p>
            <w:pPr>
              <w:tabs>
                <w:tab w:pos="170" w:val="left"/>
              </w:tabs>
              <w:spacing w:before="0" w:after="0"/>
              <w:ind w:left="170" w:hanging="170"/>
            </w:pPr>
            <w:r>
              <w:rPr>
                <w:rFonts w:ascii="Arial" w:hAnsi="Arial" w:eastAsia="Arial" w:cs="Arial"/>
                <w:b w:val="0"/>
                <w:sz w:val="20"/>
                <w:szCs w:val="20"/>
              </w:rPr>
              <w:t>•</w:t>
              <w:tab/>
              <w:t>Identify integrity risks and refer decisions beyond delegated authority.</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LGGE-5103, LGFR-5105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10</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LGCP-5208</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Community Participation and Development Planning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Analyse stakeholder interests and barriers to participation.</w:t>
            </w:r>
          </w:p>
          <w:p>
            <w:pPr>
              <w:tabs>
                <w:tab w:pos="170" w:val="left"/>
              </w:tabs>
              <w:spacing w:before="0" w:after="0"/>
              <w:ind w:left="170" w:hanging="170"/>
            </w:pPr>
            <w:r>
              <w:rPr>
                <w:rFonts w:ascii="Arial" w:hAnsi="Arial" w:eastAsia="Arial" w:cs="Arial"/>
                <w:b w:val="0"/>
                <w:sz w:val="20"/>
                <w:szCs w:val="20"/>
              </w:rPr>
              <w:t>•</w:t>
              <w:tab/>
              <w:t>Prepare an accessible consultation plan for a municipal issue.</w:t>
            </w:r>
          </w:p>
          <w:p>
            <w:pPr>
              <w:tabs>
                <w:tab w:pos="170" w:val="left"/>
              </w:tabs>
              <w:spacing w:before="0" w:after="0"/>
              <w:ind w:left="170" w:hanging="170"/>
            </w:pPr>
            <w:r>
              <w:rPr>
                <w:rFonts w:ascii="Arial" w:hAnsi="Arial" w:eastAsia="Arial" w:cs="Arial"/>
                <w:b w:val="0"/>
                <w:sz w:val="20"/>
                <w:szCs w:val="20"/>
              </w:rPr>
              <w:t>•</w:t>
              <w:tab/>
              <w:t>Facilitate a simulated meeting and record competing priorities fairly.</w:t>
            </w:r>
          </w:p>
          <w:p>
            <w:pPr>
              <w:tabs>
                <w:tab w:pos="170" w:val="left"/>
              </w:tabs>
              <w:spacing w:before="0" w:after="0"/>
              <w:ind w:left="170" w:hanging="170"/>
            </w:pPr>
            <w:r>
              <w:rPr>
                <w:rFonts w:ascii="Arial" w:hAnsi="Arial" w:eastAsia="Arial" w:cs="Arial"/>
                <w:b w:val="0"/>
                <w:sz w:val="20"/>
                <w:szCs w:val="20"/>
              </w:rPr>
              <w:t>•</w:t>
              <w:tab/>
              <w:t>Translate consultation findings into feasible planning options.</w:t>
            </w:r>
          </w:p>
          <w:p>
            <w:pPr>
              <w:tabs>
                <w:tab w:pos="170" w:val="left"/>
              </w:tabs>
              <w:spacing w:before="0" w:after="0"/>
              <w:ind w:left="170" w:hanging="170"/>
            </w:pPr>
            <w:r>
              <w:rPr>
                <w:rFonts w:ascii="Arial" w:hAnsi="Arial" w:eastAsia="Arial" w:cs="Arial"/>
                <w:b w:val="0"/>
                <w:sz w:val="20"/>
                <w:szCs w:val="20"/>
              </w:rPr>
              <w:t>•</w:t>
              <w:tab/>
              <w:t>Explain how decisions and reasons will be communicated to participants.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LGGE-5103, LGRA-5104</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LGPM-5209</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Municipal Project Monitoring and Reporting</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Define project outputs, activities and measurable indicators.</w:t>
            </w:r>
          </w:p>
          <w:p>
            <w:pPr>
              <w:tabs>
                <w:tab w:pos="170" w:val="left"/>
              </w:tabs>
              <w:spacing w:before="0" w:after="0"/>
              <w:ind w:left="170" w:hanging="170"/>
            </w:pPr>
            <w:r>
              <w:rPr>
                <w:rFonts w:ascii="Arial" w:hAnsi="Arial" w:eastAsia="Arial" w:cs="Arial"/>
                <w:b w:val="0"/>
                <w:sz w:val="20"/>
                <w:szCs w:val="20"/>
              </w:rPr>
              <w:t>•</w:t>
              <w:tab/>
              <w:t>Prepare a schedule and resource estimate for a bounded project.</w:t>
            </w:r>
          </w:p>
          <w:p>
            <w:pPr>
              <w:tabs>
                <w:tab w:pos="170" w:val="left"/>
              </w:tabs>
              <w:spacing w:before="0" w:after="0"/>
              <w:ind w:left="170" w:hanging="170"/>
            </w:pPr>
            <w:r>
              <w:rPr>
                <w:rFonts w:ascii="Arial" w:hAnsi="Arial" w:eastAsia="Arial" w:cs="Arial"/>
                <w:b w:val="0"/>
                <w:sz w:val="20"/>
                <w:szCs w:val="20"/>
              </w:rPr>
              <w:t>•</w:t>
              <w:tab/>
              <w:t>Analyse progress and expenditure information against the plan.</w:t>
            </w:r>
          </w:p>
          <w:p>
            <w:pPr>
              <w:tabs>
                <w:tab w:pos="170" w:val="left"/>
              </w:tabs>
              <w:spacing w:before="0" w:after="0"/>
              <w:ind w:left="170" w:hanging="170"/>
            </w:pPr>
            <w:r>
              <w:rPr>
                <w:rFonts w:ascii="Arial" w:hAnsi="Arial" w:eastAsia="Arial" w:cs="Arial"/>
                <w:b w:val="0"/>
                <w:sz w:val="20"/>
                <w:szCs w:val="20"/>
              </w:rPr>
              <w:t>•</w:t>
              <w:tab/>
              <w:t>Recommend corrective action for a delayed milestone.</w:t>
            </w:r>
          </w:p>
          <w:p>
            <w:pPr>
              <w:tabs>
                <w:tab w:pos="170" w:val="left"/>
              </w:tabs>
              <w:spacing w:before="0" w:after="0"/>
              <w:ind w:left="170" w:hanging="170"/>
            </w:pPr>
            <w:r>
              <w:rPr>
                <w:rFonts w:ascii="Arial" w:hAnsi="Arial" w:eastAsia="Arial" w:cs="Arial"/>
                <w:b w:val="0"/>
                <w:sz w:val="20"/>
                <w:szCs w:val="20"/>
              </w:rPr>
              <w:t>•</w:t>
              <w:tab/>
              <w:t>Produce a traceable progress report with risks and responsibilities.</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LGRA-5104, LGFR-5105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12</w:t>
            </w:r>
          </w:p>
        </w:tc>
      </w:tr>
      <w:tr w:rsidR="00374014" w:rsidRPr="008B6C93" w14:paraId="1C5A1B26" w14:textId="1020377F" w:rsidTr="00374014">
        <w:trPr/>
        <w:tc>
          <w:tcPr>
            <w:tcW w:w="1474"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LGIP-5210</w:t>
            </w:r>
          </w:p>
        </w:tc>
        <w:tc>
          <w:tcPr>
            <w:tcW w:w="18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Integrated Municipal Service Improvement Project</w:t>
            </w:r>
          </w:p>
        </w:tc>
        <w:tc>
          <w:tcPr>
            <w:tcW w:w="3685" w:type="dxa"/>
            <w:tcBorders>
              <w:top w:val="single" w:sz="4" w:space="0" w:color="000000"/>
              <w:left w:val="single" w:sz="4" w:space="0" w:color="000000"/>
              <w:bottom w:val="single" w:sz="4" w:space="0" w:color="000000"/>
              <w:right w:val="single" w:sz="4" w:space="0" w:color="000000"/>
            </w:tcBorders>
            <w:vAlign w:val="top"/>
          </w:tcPr>
          <w:p>
            <w:pPr>
              <w:tabs>
                <w:tab w:pos="170" w:val="left"/>
              </w:tabs>
              <w:spacing w:before="0" w:after="0"/>
              <w:ind w:left="170" w:hanging="170"/>
            </w:pPr>
            <w:r>
              <w:rPr>
                <w:rFonts w:ascii="Arial" w:hAnsi="Arial" w:eastAsia="Arial" w:cs="Arial"/>
                <w:b w:val="0"/>
                <w:sz w:val="20"/>
                <w:szCs w:val="20"/>
              </w:rPr>
              <w:t>•</w:t>
              <w:tab/>
              <w:t>Define a municipal service problem using a supplied evidence base.</w:t>
            </w:r>
          </w:p>
          <w:p>
            <w:pPr>
              <w:tabs>
                <w:tab w:pos="170" w:val="left"/>
              </w:tabs>
              <w:spacing w:before="0" w:after="0"/>
              <w:ind w:left="170" w:hanging="170"/>
            </w:pPr>
            <w:r>
              <w:rPr>
                <w:rFonts w:ascii="Arial" w:hAnsi="Arial" w:eastAsia="Arial" w:cs="Arial"/>
                <w:b w:val="0"/>
                <w:sz w:val="20"/>
                <w:szCs w:val="20"/>
              </w:rPr>
              <w:t>•</w:t>
              <w:tab/>
              <w:t>Integrate administrative, financial and stakeholder considerations.</w:t>
            </w:r>
          </w:p>
          <w:p>
            <w:pPr>
              <w:tabs>
                <w:tab w:pos="170" w:val="left"/>
              </w:tabs>
              <w:spacing w:before="0" w:after="0"/>
              <w:ind w:left="170" w:hanging="170"/>
            </w:pPr>
            <w:r>
              <w:rPr>
                <w:rFonts w:ascii="Arial" w:hAnsi="Arial" w:eastAsia="Arial" w:cs="Arial"/>
                <w:b w:val="0"/>
                <w:sz w:val="20"/>
                <w:szCs w:val="20"/>
              </w:rPr>
              <w:t>•</w:t>
              <w:tab/>
              <w:t>Compare feasible service-improvement options.</w:t>
            </w:r>
          </w:p>
          <w:p>
            <w:pPr>
              <w:tabs>
                <w:tab w:pos="170" w:val="left"/>
              </w:tabs>
              <w:spacing w:before="0" w:after="0"/>
              <w:ind w:left="170" w:hanging="170"/>
            </w:pPr>
            <w:r>
              <w:rPr>
                <w:rFonts w:ascii="Arial" w:hAnsi="Arial" w:eastAsia="Arial" w:cs="Arial"/>
                <w:b w:val="0"/>
                <w:sz w:val="20"/>
                <w:szCs w:val="20"/>
              </w:rPr>
              <w:t>•</w:t>
              <w:tab/>
              <w:t>Develop a staged implementation and accountability plan.</w:t>
            </w:r>
          </w:p>
          <w:p>
            <w:pPr>
              <w:tabs>
                <w:tab w:pos="170" w:val="left"/>
              </w:tabs>
              <w:spacing w:before="0" w:after="0"/>
              <w:ind w:left="170" w:hanging="170"/>
            </w:pPr>
            <w:r>
              <w:rPr>
                <w:rFonts w:ascii="Arial" w:hAnsi="Arial" w:eastAsia="Arial" w:cs="Arial"/>
                <w:b w:val="0"/>
                <w:sz w:val="20"/>
                <w:szCs w:val="20"/>
              </w:rPr>
              <w:t>•</w:t>
              <w:tab/>
              <w:t>Defend recommendations while identifying legal and resource decisions requiring authorisation.</w:t>
            </w:r>
          </w:p>
        </w:tc>
        <w:tc>
          <w:tcPr>
            <w:tcW w:w="1247" w:type="dxa"/>
            <w:tcBorders>
              <w:top w:val="single" w:sz="4" w:space="0" w:color="000000"/>
              <w:left w:val="single" w:sz="4" w:space="0" w:color="000000"/>
              <w:bottom w:val="single" w:sz="4" w:space="0" w:color="000000"/>
              <w:right w:val="single" w:sz="4" w:space="0" w:color="000000"/>
            </w:tcBorders>
            <w:vAlign w:val="top"/>
          </w:tcPr>
          <w:p>
            <w:pPr>
              <w:spacing w:before="0" w:after="0" w:line="240" w:lineRule="auto"/>
              <w:jc w:val="left"/>
            </w:pPr>
            <w:r>
              <w:rPr>
                <w:rFonts w:ascii="Arial" w:hAnsi="Arial" w:eastAsia="Arial" w:cs="Arial"/>
                <w:b w:val="0"/>
                <w:sz w:val="20"/>
                <w:szCs w:val="20"/>
              </w:rPr>
              <w:t>LGGE-5103, LGRA-5104, LGFR-5105</w:t>
            </w:r>
          </w:p>
        </w:tc>
        <w:tc>
          <w:tcPr>
            <w:tcW w:w="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5</w:t>
            </w:r>
          </w:p>
        </w:tc>
        <w:tc>
          <w:tcPr>
            <w:tcW w:w="99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0" w:after="0" w:line="240" w:lineRule="auto"/>
              <w:jc w:val="left"/>
            </w:pPr>
            <w:r>
              <w:rPr>
                <w:rFonts w:ascii="Arial" w:hAnsi="Arial" w:eastAsia="Arial" w:cs="Arial"/>
                <w:b w:val="0"/>
                <w:sz w:val="20"/>
                <w:szCs w:val="20"/>
              </w:rPr>
              <w:t>16</w:t>
            </w:r>
          </w:p>
        </w:tc>
      </w:tr>
    </w:tbl>
    <w:p w14:paraId="0CCA4BE6" w14:textId="7C3A3F6E" w:rsidR="00FF096D" w:rsidRPr="008B6C93" w:rsidRDefault="00FF096D">
      <w:pPr>
        <w:spacing w:before="0" w:after="120"/>
        <w:rPr>
          <w:rFonts w:ascii="Arial" w:hAnsi="Arial" w:eastAsia="Arial" w:cs="Arial"/>
          <w:sz w:val="20"/>
          <w:szCs w:val="20"/>
        </w:rPr>
        <w:sectPr w:rsidR="00FF096D" w:rsidRPr="008B6C93" w:rsidSect="00374014">
          <w:pgSz w:w="11906" w:h="16838"/>
          <w:pgMar w:top="907" w:right="850" w:bottom="907" w:left="850" w:header="397" w:footer="397" w:gutter="0"/>
          <w:cols w:space="720"/>
          <w:docGrid w:linePitch="360"/>
        </w:sectPr>
      </w:pPr>
      <w:r w:rsidRPr="008B6C93">
        <w:rPr>
          <w:rFonts w:ascii="Arial" w:hAnsi="Arial" w:eastAsia="Arial" w:cs="Arial"/>
          <w:sz w:val="20"/>
          <w:szCs w:val="20"/>
        </w:rPr>
        <w:t xml:space="preserve"> </w:t>
      </w:r>
    </w:p>
    <w:p w14:paraId="47CE6469" w14:textId="436C8185" w:rsidR="00C65B51" w:rsidRPr="008B6C93" w:rsidRDefault="00374014">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 xml:space="preserve">Qualification Mapping and Learning Resources </w:t>
      </w:r>
    </w:p>
    <w:tbl>
      <w:tblPr>
        <w:tblW w:w="14884"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000" w:firstRow="0" w:lastRow="0" w:firstColumn="0" w:lastColumn="0" w:noHBand="0" w:noVBand="0"/>
      </w:tblPr>
      <w:tblGrid>
        <w:gridCol w:w="567"/>
        <w:gridCol w:w="2268"/>
        <w:gridCol w:w="1276"/>
        <w:gridCol w:w="5103"/>
        <w:gridCol w:w="5670"/>
      </w:tblGrid>
      <w:tr w:rsidR="0020464B" w:rsidRPr="008B6C93" w14:paraId="3DB62935" w14:textId="77777777" w:rsidTr="002601F3">
        <w:trPr>
          <w:tblHeader/>
        </w:trPr>
        <w:tc>
          <w:tcPr>
            <w:tcW w:w="567" w:type="dxa"/>
            <w:tcBorders>
              <w:top w:val="single" w:sz="4" w:space="0" w:color="000000"/>
              <w:left w:val="single" w:sz="4" w:space="0" w:color="000000"/>
              <w:bottom w:val="single" w:sz="4" w:space="0" w:color="000000"/>
              <w:right w:val="single" w:sz="4" w:space="0" w:color="000000"/>
            </w:tcBorders>
            <w:shd w:val="clear" w:color="auto" w:fill="BFBFBF"/>
            <w:vAlign w:val="top"/>
          </w:tcPr>
          <w:p w14:paraId="6CB904A5" w14:textId="77777777"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No</w:t>
            </w:r>
          </w:p>
        </w:tc>
        <w:tc>
          <w:tcPr>
            <w:tcW w:w="2268" w:type="dxa"/>
            <w:tcBorders>
              <w:top w:val="single" w:sz="4" w:space="0" w:color="000000"/>
              <w:left w:val="single" w:sz="4" w:space="0" w:color="000000"/>
              <w:bottom w:val="single" w:sz="4" w:space="0" w:color="000000"/>
              <w:right w:val="single" w:sz="4" w:space="0" w:color="000000"/>
            </w:tcBorders>
            <w:shd w:val="clear" w:color="auto" w:fill="BFBFBF"/>
            <w:vAlign w:val="top"/>
          </w:tcPr>
          <w:p w14:paraId="10F4229C" w14:textId="4ECCF44F" w:rsidR="0020464B" w:rsidRPr="008B6C93" w:rsidRDefault="0020464B" w:rsidP="008862B1">
            <w:pPr>
              <w:pStyle w:val="BodyA"/>
              <w:keepNext/>
              <w:spacing w:after="40" w:line="240" w:lineRule="auto" w:before="40"/>
              <w:contextualSpacing/>
              <w:jc w:val="left"/>
              <w:rPr>
                <w:rStyle w:val="None"/>
                <w:rFonts w:ascii="Arial" w:hAnsi="Arial" w:eastAsia="Arial" w:cs="Arial"/>
                <w:sz w:val="20"/>
                <w:szCs w:val="20"/>
                <w:lang w:val="en-GB"/>
              </w:rPr>
            </w:pPr>
            <w:r w:rsidRPr="008B6C93">
              <w:rPr>
                <w:rStyle w:val="None"/>
                <w:rFonts w:ascii="Arial" w:hAnsi="Arial" w:eastAsia="Arial" w:cs="Arial"/>
                <w:b/>
                <w:sz w:val="20"/>
                <w:szCs w:val="20"/>
                <w:lang w:val="en-GB"/>
              </w:rPr>
              <w:t xml:space="preserve">Course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00E0671C" w14:textId="344F5393"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Mapping to QOL</w:t>
            </w:r>
          </w:p>
        </w:tc>
        <w:tc>
          <w:tcPr>
            <w:tcW w:w="5103"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3BE045A2" w14:textId="1F019684"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Indicating Assessment Evidence </w:t>
            </w:r>
          </w:p>
        </w:tc>
        <w:tc>
          <w:tcPr>
            <w:tcW w:w="5670" w:type="dxa"/>
            <w:tcBorders>
              <w:top w:val="single" w:sz="4" w:space="0" w:color="000000"/>
              <w:left w:val="single" w:sz="4" w:space="0" w:color="000000"/>
              <w:bottom w:val="single" w:sz="4" w:space="0" w:color="000000"/>
              <w:right w:val="single" w:sz="4" w:space="0" w:color="000000"/>
            </w:tcBorders>
            <w:shd w:val="clear" w:color="auto" w:fill="BFBFBF"/>
            <w:tcMar>
              <w:top w:w="80" w:type="dxa"/>
              <w:left w:w="80" w:type="dxa"/>
              <w:bottom w:w="80" w:type="dxa"/>
              <w:right w:w="80" w:type="dxa"/>
            </w:tcMar>
            <w:vAlign w:val="top"/>
          </w:tcPr>
          <w:p w14:paraId="25DC34FE" w14:textId="435814B5" w:rsidR="0020464B" w:rsidRPr="008B6C93" w:rsidRDefault="0020464B" w:rsidP="008862B1">
            <w:pPr>
              <w:pStyle w:val="BodyA"/>
              <w:keepNext/>
              <w:spacing w:after="40" w:line="240" w:lineRule="auto" w:before="40"/>
              <w:contextualSpacing/>
              <w:jc w:val="left"/>
              <w:rPr>
                <w:rFonts w:ascii="Arial" w:hAnsi="Arial" w:eastAsia="Arial" w:cs="Arial"/>
                <w:sz w:val="20"/>
                <w:szCs w:val="20"/>
                <w:lang w:val="en-GB"/>
              </w:rPr>
            </w:pPr>
            <w:r w:rsidRPr="008B6C93">
              <w:rPr>
                <w:rFonts w:ascii="Arial" w:hAnsi="Arial" w:eastAsia="Arial" w:cs="Arial"/>
                <w:b/>
                <w:sz w:val="20"/>
                <w:szCs w:val="20"/>
                <w:lang w:val="en-GB"/>
              </w:rPr>
              <w:t xml:space="preserve">Key Learning Resources (Prescribed and Recommended) </w:t>
            </w:r>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ECAW-5101 – English for Communication and Academic Writing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An individually authored referenced report, annotated source appraisal, editing record and oral briefing with questions; retain drafts and source notes.</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0">
              <w:r>
                <w:rPr>
                  <w:rFonts w:ascii="Arial" w:hAnsi="Arial" w:eastAsia="Arial" w:cs="Arial"/>
                  <w:sz w:val="20"/>
                  <w:szCs w:val="20"/>
                </w:rPr>
                <w:t>Grant, T., &amp; Borcherds, R. (2019). Communicating @ work: Boosting your spoken, written and visual impact (4th ed.). Van Schaik.</w:t>
              </w:r>
            </w:hyperlink>
          </w:p>
          <w:p>
            <w:pPr>
              <w:spacing w:after="40" w:line="240" w:lineRule="auto" w:before="40"/>
            </w:pPr>
            <w:hyperlink r:id="rId11">
              <w:r>
                <w:rPr>
                  <w:rFonts w:ascii="Arial" w:hAnsi="Arial" w:eastAsia="Arial" w:cs="Arial"/>
                  <w:sz w:val="20"/>
                  <w:szCs w:val="20"/>
                </w:rPr>
                <w:t>Jonker, B. E., &amp; Mtshelwane, N. D. P. (Eds.). (2021). Developing soft skills for success: A guide for modern professionals. Van Schaik.</w:t>
              </w:r>
            </w:hyperlink>
          </w:p>
          <w:p>
            <w:pPr>
              <w:spacing w:after="40" w:line="240" w:lineRule="auto" w:before="40"/>
            </w:pPr>
            <w:hyperlink r:id="rId12">
              <w:r>
                <w:rPr>
                  <w:rFonts w:ascii="Arial" w:hAnsi="Arial" w:eastAsia="Arial" w:cs="Arial"/>
                  <w:sz w:val="20"/>
                  <w:szCs w:val="20"/>
                </w:rPr>
                <w:t>Smith, J. (2019). Communication at work: A college-to-career guide to success. eCampusOntario.</w:t>
              </w:r>
            </w:hyperlink>
          </w:p>
          <w:p>
            <w:pPr>
              <w:spacing w:after="40" w:line="240" w:lineRule="auto" w:before="40"/>
            </w:pPr>
            <w:hyperlink r:id="rId13">
              <w:r>
                <w:rPr>
                  <w:rFonts w:ascii="Arial" w:hAnsi="Arial" w:eastAsia="Arial" w:cs="Arial"/>
                  <w:sz w:val="20"/>
                  <w:szCs w:val="20"/>
                </w:rPr>
                <w:t>Robinson, M. B., Jerskey, M., &amp; Fulwiler, T. (2021). Writing guide with handbook. OpenStax.</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p>
            <w:pPr>
              <w:spacing w:after="40" w:line="240" w:lineRule="auto" w:before="40"/>
            </w:pPr>
            <w:hyperlink r:id="rId15">
              <w:r>
                <w:rPr>
                  <w:rFonts w:ascii="Arial" w:hAnsi="Arial" w:eastAsia="Arial" w:cs="Arial"/>
                  <w:sz w:val="20"/>
                  <w:szCs w:val="20"/>
                </w:rPr>
                <w:t>Sutton, L. B.-M., &amp; le Roux, T. (2025). Internal communication challenges in corporate South Africa after the COVID-19 pandemic. Communicare: Journal for Communication Studies in Africa, 44(3). https://doi.org/10.36615/8qae9f05</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2</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PISY-5102 – Principles of Information Systems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A sandbox portfolio containing a validated spreadsheet, workflow diagram, verified AI-output comparison with source log, phishing-response exercise and privacy-aware improvement proposal. Use synthetic data; no real credentials, personal records or live security testing.</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16">
              <w:r>
                <w:rPr>
                  <w:rFonts w:ascii="Arial" w:hAnsi="Arial" w:eastAsia="Arial" w:cs="Arial"/>
                  <w:sz w:val="20"/>
                  <w:szCs w:val="20"/>
                </w:rPr>
                <w:t>LibreOffice Documentation Team. (2024). Getting started guide 24.8. The Document Foundation.</w:t>
              </w:r>
            </w:hyperlink>
          </w:p>
          <w:p>
            <w:pPr>
              <w:spacing w:after="40" w:line="240" w:lineRule="auto" w:before="40"/>
            </w:pPr>
            <w:hyperlink r:id="rId17">
              <w:r>
                <w:rPr>
                  <w:rFonts w:ascii="Arial" w:hAnsi="Arial" w:eastAsia="Arial" w:cs="Arial"/>
                  <w:sz w:val="20"/>
                  <w:szCs w:val="20"/>
                </w:rPr>
                <w:t>Miao, F., Shiohira, K., &amp; Lao, N. (2024). AI competency framework for students. UNESCO. https://doi.org/10.54675/JKJB9835</w:t>
              </w:r>
            </w:hyperlink>
          </w:p>
          <w:p>
            <w:pPr>
              <w:spacing w:after="40" w:line="240" w:lineRule="auto" w:before="40"/>
            </w:pPr>
            <w:hyperlink r:id="rId18">
              <w:r>
                <w:rPr>
                  <w:rFonts w:ascii="Arial" w:hAnsi="Arial" w:eastAsia="Arial" w:cs="Arial"/>
                  <w:sz w:val="20"/>
                  <w:szCs w:val="20"/>
                </w:rPr>
                <w:t>Miao, F., &amp; Holmes, W. (2023). Guidance for generative AI in education and research. UNESCO. https://doi.org/10.54675/EWZM9535</w:t>
              </w:r>
            </w:hyperlink>
          </w:p>
          <w:p>
            <w:pPr>
              <w:spacing w:after="40" w:line="240" w:lineRule="auto" w:before="40"/>
            </w:pPr>
            <w:hyperlink r:id="rId19">
              <w:r>
                <w:rPr>
                  <w:rFonts w:ascii="Arial" w:hAnsi="Arial" w:eastAsia="Arial" w:cs="Arial"/>
                  <w:sz w:val="20"/>
                  <w:szCs w:val="20"/>
                </w:rPr>
                <w:t>Ministry of Information and Communication Technology. (2022). Namibia national cybersecurity strategy &amp; awareness raising plan 2022–2027.</w:t>
              </w:r>
            </w:hyperlink>
          </w:p>
          <w:p>
            <w:pPr>
              <w:spacing w:after="40" w:line="240" w:lineRule="auto" w:before="40"/>
            </w:pPr>
            <w:hyperlink r:id="rId20">
              <w:r>
                <w:rPr>
                  <w:rFonts w:ascii="Arial" w:hAnsi="Arial" w:eastAsia="Arial" w:cs="Arial"/>
                  <w:sz w:val="20"/>
                  <w:szCs w:val="20"/>
                </w:rPr>
                <w:t>Department of Communications and Digital Technologies. (2020). National digital and future skills strategy South Africa (Government Notice 513, Government Gazette 43730).</w:t>
              </w:r>
            </w:hyperlink>
          </w:p>
          <w:p>
            <w:pPr>
              <w:spacing w:after="40" w:line="240" w:lineRule="auto" w:before="40"/>
            </w:pPr>
            <w:hyperlink r:id="rId21">
              <w:r>
                <w:rPr>
                  <w:rFonts w:ascii="Arial" w:hAnsi="Arial" w:eastAsia="Arial" w:cs="Arial"/>
                  <w:sz w:val="20"/>
                  <w:szCs w:val="20"/>
                </w:rPr>
                <w:t>Ireton, C., &amp; Posetti, J. (Eds.). (2018). Journalism, “fake news” &amp; disinformation: Handbook for journalism education and training. UNESCO.</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3</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LGGE-5103 – Local Governance and Administrative Ethics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Governance case analysis and reasoned administrative memorandum.</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Oranjemund Town Council. (2024). Strategic plan 2024–2029.</w:t>
              </w:r>
            </w:hyperlink>
          </w:p>
          <w:p>
            <w:pPr>
              <w:spacing w:after="40" w:line="240" w:lineRule="auto" w:before="40"/>
            </w:pPr>
            <w:hyperlink r:id="rId68">
              <w:r>
                <w:rPr>
                  <w:rFonts w:ascii="Arial" w:hAnsi="Arial" w:eastAsia="Arial" w:cs="Arial"/>
                  <w:sz w:val="20"/>
                  <w:szCs w:val="20"/>
                </w:rPr>
                <w:t>Ministry of Finance, Namibia. (2021). Reference guide to public procurement (Version 1.0).</w:t>
              </w:r>
            </w:hyperlink>
          </w:p>
          <w:p>
            <w:pPr>
              <w:spacing w:after="40" w:line="240" w:lineRule="auto" w:before="40"/>
            </w:pPr>
            <w:hyperlink r:id="rId69">
              <w:r>
                <w:rPr>
                  <w:rFonts w:ascii="Arial" w:hAnsi="Arial" w:eastAsia="Arial" w:cs="Arial"/>
                  <w:sz w:val="20"/>
                  <w:szCs w:val="20"/>
                </w:rPr>
                <w:t>Organisation for Economic Co-operation and Development. (2020). OECD public integrity handbook. OECD Publishing. https://doi.org/10.1787/ac8ed8e8-en</w:t>
              </w:r>
            </w:hyperlink>
          </w:p>
          <w:p>
            <w:pPr>
              <w:spacing w:after="40" w:line="240" w:lineRule="auto" w:before="40"/>
            </w:pPr>
            <w:hyperlink r:id="rId70">
              <w:r>
                <w:rPr>
                  <w:rFonts w:ascii="Arial" w:hAnsi="Arial" w:eastAsia="Arial" w:cs="Arial"/>
                  <w:sz w:val="20"/>
                  <w:szCs w:val="20"/>
                </w:rPr>
                <w:t>Organisation for Economic Co-operation and Development. (2022). OECD guidelines for citizen participation processes. OECD Publishing. https://doi.org/10.1787/f765caf6-en</w:t>
              </w:r>
            </w:hyperlink>
          </w:p>
          <w:p>
            <w:pPr>
              <w:spacing w:after="40" w:line="240" w:lineRule="auto" w:before="40"/>
            </w:pPr>
            <w:hyperlink r:id="rId71">
              <w:r>
                <w:rPr>
                  <w:rFonts w:ascii="Arial" w:hAnsi="Arial" w:eastAsia="Arial" w:cs="Arial"/>
                  <w:sz w:val="20"/>
                  <w:szCs w:val="20"/>
                </w:rPr>
                <w:t>Bright, D. S., &amp; Cortes, A. H. (2019). Principles of management. OpenStax.</w:t>
              </w:r>
            </w:hyperlink>
          </w:p>
          <w:p>
            <w:pPr>
              <w:spacing w:after="40" w:line="240" w:lineRule="auto" w:before="40"/>
            </w:pPr>
            <w:hyperlink r:id="rId72">
              <w:r>
                <w:rPr>
                  <w:rFonts w:ascii="Arial" w:hAnsi="Arial" w:eastAsia="Arial" w:cs="Arial"/>
                  <w:sz w:val="20"/>
                  <w:szCs w:val="20"/>
                </w:rPr>
                <w:t>Kamiya, M., &amp; Zhang, L.-Y. (Eds.). (2017). Finance for city leaders handbook (2nd ed.). UN-Habitat.</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4</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LGRA-5104 – Municipal Records and Administrative Systems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EO2,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Records portfolio, meeting simulation and workflow improvement report.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73">
              <w:r>
                <w:rPr>
                  <w:rFonts w:ascii="Arial" w:hAnsi="Arial" w:eastAsia="Arial" w:cs="Arial"/>
                  <w:sz w:val="20"/>
                  <w:szCs w:val="20"/>
                </w:rPr>
                <w:t>National Archives of Namibia. (2017). Circular 1: Compilation of file plan.</w:t>
              </w:r>
            </w:hyperlink>
          </w:p>
          <w:p>
            <w:pPr>
              <w:spacing w:after="40" w:line="240" w:lineRule="auto" w:before="40"/>
            </w:pPr>
            <w:hyperlink r:id="rId74">
              <w:r>
                <w:rPr>
                  <w:rFonts w:ascii="Arial" w:hAnsi="Arial" w:eastAsia="Arial" w:cs="Arial"/>
                  <w:sz w:val="20"/>
                  <w:szCs w:val="20"/>
                </w:rPr>
                <w:t>National Archives of Namibia. (2017). Circular 3: Instructions for use of file plan.</w:t>
              </w:r>
            </w:hyperlink>
          </w:p>
          <w:p>
            <w:pPr>
              <w:spacing w:after="40" w:line="240" w:lineRule="auto" w:before="40"/>
            </w:pPr>
            <w:hyperlink r:id="rId75">
              <w:r>
                <w:rPr>
                  <w:rFonts w:ascii="Arial" w:hAnsi="Arial" w:eastAsia="Arial" w:cs="Arial"/>
                  <w:sz w:val="20"/>
                  <w:szCs w:val="20"/>
                </w:rPr>
                <w:t>International Organization for Standardization. (2020). Information and documentation—Processes and functional requirements for software for managing records—Part 1: Functional requirements and associated guidance for any applications that manage digital records (ISO Standard No. 16175-1:2020).</w:t>
              </w:r>
            </w:hyperlink>
          </w:p>
          <w:p>
            <w:pPr>
              <w:spacing w:after="40" w:line="240" w:lineRule="auto" w:before="40"/>
            </w:pPr>
            <w:hyperlink r:id="rId76">
              <w:r>
                <w:rPr>
                  <w:rFonts w:ascii="Arial" w:hAnsi="Arial" w:eastAsia="Arial" w:cs="Arial"/>
                  <w:sz w:val="20"/>
                  <w:szCs w:val="20"/>
                </w:rPr>
                <w:t>International Organization for Standardization. (2017). Information and documentation—Records management processes—Metadata for records—Part 1: Principles (ISO Standard No. 23081-1:2017).</w:t>
              </w:r>
            </w:hyperlink>
          </w:p>
          <w:p>
            <w:pPr>
              <w:spacing w:after="40" w:line="240" w:lineRule="auto" w:before="40"/>
            </w:pPr>
            <w:hyperlink r:id="rId69">
              <w:r>
                <w:rPr>
                  <w:rFonts w:ascii="Arial" w:hAnsi="Arial" w:eastAsia="Arial" w:cs="Arial"/>
                  <w:sz w:val="20"/>
                  <w:szCs w:val="20"/>
                </w:rPr>
                <w:t>Organisation for Economic Co-operation and Development. (2020). OECD public integrity handbook. OECD Publishing. https://doi.org/10.1787/ac8ed8e8-en</w:t>
              </w:r>
            </w:hyperlink>
          </w:p>
          <w:p>
            <w:pPr>
              <w:spacing w:after="40" w:line="240" w:lineRule="auto" w:before="40"/>
            </w:pPr>
            <w:hyperlink r:id="rId70">
              <w:r>
                <w:rPr>
                  <w:rFonts w:ascii="Arial" w:hAnsi="Arial" w:eastAsia="Arial" w:cs="Arial"/>
                  <w:sz w:val="20"/>
                  <w:szCs w:val="20"/>
                </w:rPr>
                <w:t>Organisation for Economic Co-operation and Development. (2022). OECD guidelines for citizen participation processes. OECD Publishing. https://doi.org/10.1787/f765caf6-en</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5</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LGFR-5105 – Municipal Finance and Revenue Administration (Level 5, 14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Budget workbook, reconciliation exercise and control-review case.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72">
              <w:r>
                <w:rPr>
                  <w:rFonts w:ascii="Arial" w:hAnsi="Arial" w:eastAsia="Arial" w:cs="Arial"/>
                  <w:sz w:val="20"/>
                  <w:szCs w:val="20"/>
                </w:rPr>
                <w:t>Kamiya, M., &amp; Zhang, L.-Y. (Eds.). (2017). Finance for city leaders handbook (2nd ed.). UN-Habitat.</w:t>
              </w:r>
            </w:hyperlink>
          </w:p>
          <w:p>
            <w:pPr>
              <w:spacing w:after="40" w:line="240" w:lineRule="auto" w:before="40"/>
            </w:pPr>
            <w:hyperlink r:id="rId77">
              <w:r>
                <w:rPr>
                  <w:rFonts w:ascii="Arial" w:hAnsi="Arial" w:eastAsia="Arial" w:cs="Arial"/>
                  <w:sz w:val="20"/>
                  <w:szCs w:val="20"/>
                </w:rPr>
                <w:t>Franklin, M., Graybeal, P., &amp; Cooper, D. (2019). Principles of accounting, volume 1: Financial accounting. OpenStax.</w:t>
              </w:r>
            </w:hyperlink>
          </w:p>
          <w:p>
            <w:pPr>
              <w:spacing w:after="40" w:line="240" w:lineRule="auto" w:before="40"/>
            </w:pPr>
            <w:hyperlink r:id="rId78">
              <w:r>
                <w:rPr>
                  <w:rFonts w:ascii="Arial" w:hAnsi="Arial" w:eastAsia="Arial" w:cs="Arial"/>
                  <w:sz w:val="20"/>
                  <w:szCs w:val="20"/>
                </w:rPr>
                <w:t>Franklin, M., Graybeal, P., &amp; Cooper, D. (2019). Principles of accounting, volume 2: Managerial accounting. OpenStax.</w:t>
              </w:r>
            </w:hyperlink>
          </w:p>
          <w:p>
            <w:pPr>
              <w:spacing w:after="40" w:line="240" w:lineRule="auto" w:before="40"/>
            </w:pPr>
            <w:hyperlink r:id="rId68">
              <w:r>
                <w:rPr>
                  <w:rFonts w:ascii="Arial" w:hAnsi="Arial" w:eastAsia="Arial" w:cs="Arial"/>
                  <w:sz w:val="20"/>
                  <w:szCs w:val="20"/>
                </w:rPr>
                <w:t>Ministry of Finance, Namibia. (2021). Reference guide to public procurement (Version 1.0).</w:t>
              </w:r>
            </w:hyperlink>
          </w:p>
          <w:p>
            <w:pPr>
              <w:spacing w:after="40" w:line="240" w:lineRule="auto" w:before="40"/>
            </w:pPr>
            <w:hyperlink r:id="rId67">
              <w:r>
                <w:rPr>
                  <w:rFonts w:ascii="Arial" w:hAnsi="Arial" w:eastAsia="Arial" w:cs="Arial"/>
                  <w:sz w:val="20"/>
                  <w:szCs w:val="20"/>
                </w:rPr>
                <w:t>Oranjemund Town Council. (2024). Strategic plan 2024–2029.</w:t>
              </w:r>
            </w:hyperlink>
          </w:p>
          <w:p>
            <w:pPr>
              <w:spacing w:after="40" w:line="240" w:lineRule="auto" w:before="40"/>
            </w:pPr>
            <w:hyperlink r:id="rId69">
              <w:r>
                <w:rPr>
                  <w:rFonts w:ascii="Arial" w:hAnsi="Arial" w:eastAsia="Arial" w:cs="Arial"/>
                  <w:sz w:val="20"/>
                  <w:szCs w:val="20"/>
                </w:rPr>
                <w:t>Organisation for Economic Co-operation and Development. (2020). OECD public integrity handbook. OECD Publishing. https://doi.org/10.1787/ac8ed8e8-en</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6</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LGSD-5206 – Municipal Service Delivery and Asset Monitoring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Service dashboard and prioritised improvement schedule.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79">
              <w:r>
                <w:rPr>
                  <w:rFonts w:ascii="Arial" w:hAnsi="Arial" w:eastAsia="Arial" w:cs="Arial"/>
                  <w:sz w:val="20"/>
                  <w:szCs w:val="20"/>
                </w:rPr>
                <w:t>United Nations Human Settlements Programme. (2022). The global urban monitoring framework.</w:t>
              </w:r>
            </w:hyperlink>
          </w:p>
          <w:p>
            <w:pPr>
              <w:spacing w:after="40" w:line="240" w:lineRule="auto" w:before="40"/>
            </w:pPr>
            <w:hyperlink r:id="rId80">
              <w:r>
                <w:rPr>
                  <w:rFonts w:ascii="Arial" w:hAnsi="Arial" w:eastAsia="Arial" w:cs="Arial"/>
                  <w:sz w:val="20"/>
                  <w:szCs w:val="20"/>
                </w:rPr>
                <w:t>Organisation for Economic Co-operation and Development. (2021). Applying evaluation criteria thoughtfully. OECD Publishing. https://doi.org/10.1787/543e84ed-en</w:t>
              </w:r>
            </w:hyperlink>
          </w:p>
          <w:p>
            <w:pPr>
              <w:spacing w:after="40" w:line="240" w:lineRule="auto" w:before="40"/>
            </w:pPr>
            <w:hyperlink r:id="rId67">
              <w:r>
                <w:rPr>
                  <w:rFonts w:ascii="Arial" w:hAnsi="Arial" w:eastAsia="Arial" w:cs="Arial"/>
                  <w:sz w:val="20"/>
                  <w:szCs w:val="20"/>
                </w:rPr>
                <w:t>Oranjemund Town Council. (2024). Strategic plan 2024–2029.</w:t>
              </w:r>
            </w:hyperlink>
          </w:p>
          <w:p>
            <w:pPr>
              <w:spacing w:after="40" w:line="240" w:lineRule="auto" w:before="40"/>
            </w:pPr>
            <w:hyperlink r:id="rId68">
              <w:r>
                <w:rPr>
                  <w:rFonts w:ascii="Arial" w:hAnsi="Arial" w:eastAsia="Arial" w:cs="Arial"/>
                  <w:sz w:val="20"/>
                  <w:szCs w:val="20"/>
                </w:rPr>
                <w:t>Ministry of Finance, Namibia. (2021). Reference guide to public procurement (Version 1.0).</w:t>
              </w:r>
            </w:hyperlink>
          </w:p>
          <w:p>
            <w:pPr>
              <w:spacing w:after="40" w:line="240" w:lineRule="auto" w:before="40"/>
            </w:pPr>
            <w:hyperlink r:id="rId70">
              <w:r>
                <w:rPr>
                  <w:rFonts w:ascii="Arial" w:hAnsi="Arial" w:eastAsia="Arial" w:cs="Arial"/>
                  <w:sz w:val="20"/>
                  <w:szCs w:val="20"/>
                </w:rPr>
                <w:t>Organisation for Economic Co-operation and Development. (2022). OECD guidelines for citizen participation processes. OECD Publishing. https://doi.org/10.1787/f765caf6-en</w:t>
              </w:r>
            </w:hyperlink>
          </w:p>
          <w:p>
            <w:pPr>
              <w:spacing w:after="40" w:line="240" w:lineRule="auto" w:before="40"/>
            </w:pPr>
            <w:hyperlink r:id="rId72">
              <w:r>
                <w:rPr>
                  <w:rFonts w:ascii="Arial" w:hAnsi="Arial" w:eastAsia="Arial" w:cs="Arial"/>
                  <w:sz w:val="20"/>
                  <w:szCs w:val="20"/>
                </w:rPr>
                <w:t>Kamiya, M., &amp; Zhang, L.-Y. (Eds.). (2017). Finance for city leaders handbook (2nd ed.). UN-Habitat.</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7</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LGPA-5207 – Procurement and Contract Administration (Level 5, 10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EO3</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Simulated procurement file and contract-monitoring exercise.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72">
              <w:r>
                <w:rPr>
                  <w:rFonts w:ascii="Arial" w:hAnsi="Arial" w:eastAsia="Arial" w:cs="Arial"/>
                  <w:sz w:val="20"/>
                  <w:szCs w:val="20"/>
                </w:rPr>
                <w:t>Kamiya, M., &amp; Zhang, L.-Y. (Eds.). (2017). Finance for city leaders handbook (2nd ed.). UN-Habitat.</w:t>
              </w:r>
            </w:hyperlink>
          </w:p>
          <w:p>
            <w:pPr>
              <w:spacing w:after="40" w:line="240" w:lineRule="auto" w:before="40"/>
            </w:pPr>
            <w:hyperlink r:id="rId77">
              <w:r>
                <w:rPr>
                  <w:rFonts w:ascii="Arial" w:hAnsi="Arial" w:eastAsia="Arial" w:cs="Arial"/>
                  <w:sz w:val="20"/>
                  <w:szCs w:val="20"/>
                </w:rPr>
                <w:t>Franklin, M., Graybeal, P., &amp; Cooper, D. (2019). Principles of accounting, volume 1: Financial accounting. OpenStax.</w:t>
              </w:r>
            </w:hyperlink>
          </w:p>
          <w:p>
            <w:pPr>
              <w:spacing w:after="40" w:line="240" w:lineRule="auto" w:before="40"/>
            </w:pPr>
            <w:hyperlink r:id="rId78">
              <w:r>
                <w:rPr>
                  <w:rFonts w:ascii="Arial" w:hAnsi="Arial" w:eastAsia="Arial" w:cs="Arial"/>
                  <w:sz w:val="20"/>
                  <w:szCs w:val="20"/>
                </w:rPr>
                <w:t>Franklin, M., Graybeal, P., &amp; Cooper, D. (2019). Principles of accounting, volume 2: Managerial accounting. OpenStax.</w:t>
              </w:r>
            </w:hyperlink>
          </w:p>
          <w:p>
            <w:pPr>
              <w:spacing w:after="40" w:line="240" w:lineRule="auto" w:before="40"/>
            </w:pPr>
            <w:hyperlink r:id="rId68">
              <w:r>
                <w:rPr>
                  <w:rFonts w:ascii="Arial" w:hAnsi="Arial" w:eastAsia="Arial" w:cs="Arial"/>
                  <w:sz w:val="20"/>
                  <w:szCs w:val="20"/>
                </w:rPr>
                <w:t>Ministry of Finance, Namibia. (2021). Reference guide to public procurement (Version 1.0).</w:t>
              </w:r>
            </w:hyperlink>
          </w:p>
          <w:p>
            <w:pPr>
              <w:spacing w:after="40" w:line="240" w:lineRule="auto" w:before="40"/>
            </w:pPr>
            <w:hyperlink r:id="rId67">
              <w:r>
                <w:rPr>
                  <w:rFonts w:ascii="Arial" w:hAnsi="Arial" w:eastAsia="Arial" w:cs="Arial"/>
                  <w:sz w:val="20"/>
                  <w:szCs w:val="20"/>
                </w:rPr>
                <w:t>Oranjemund Town Council. (2024). Strategic plan 2024–2029.</w:t>
              </w:r>
            </w:hyperlink>
          </w:p>
          <w:p>
            <w:pPr>
              <w:spacing w:after="40" w:line="240" w:lineRule="auto" w:before="40"/>
            </w:pPr>
            <w:hyperlink r:id="rId69">
              <w:r>
                <w:rPr>
                  <w:rFonts w:ascii="Arial" w:hAnsi="Arial" w:eastAsia="Arial" w:cs="Arial"/>
                  <w:sz w:val="20"/>
                  <w:szCs w:val="20"/>
                </w:rPr>
                <w:t>Organisation for Economic Co-operation and Development. (2020). OECD public integrity handbook. OECD Publishing. https://doi.org/10.1787/ac8ed8e8-en</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8</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LGCP-5208 – Community Participation and Development Planning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EO4</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Consultation simulation, options paper and feedback plan; no invented endorsement.</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70">
              <w:r>
                <w:rPr>
                  <w:rFonts w:ascii="Arial" w:hAnsi="Arial" w:eastAsia="Arial" w:cs="Arial"/>
                  <w:sz w:val="20"/>
                  <w:szCs w:val="20"/>
                </w:rPr>
                <w:t>Organisation for Economic Co-operation and Development. (2022). OECD guidelines for citizen participation processes. OECD Publishing. https://doi.org/10.1787/f765caf6-en</w:t>
              </w:r>
            </w:hyperlink>
          </w:p>
          <w:p>
            <w:pPr>
              <w:spacing w:after="40" w:line="240" w:lineRule="auto" w:before="40"/>
            </w:pPr>
            <w:hyperlink r:id="rId68">
              <w:r>
                <w:rPr>
                  <w:rFonts w:ascii="Arial" w:hAnsi="Arial" w:eastAsia="Arial" w:cs="Arial"/>
                  <w:sz w:val="20"/>
                  <w:szCs w:val="20"/>
                </w:rPr>
                <w:t>Ministry of Finance, Namibia. (2021). Reference guide to public procurement (Version 1.0).</w:t>
              </w:r>
            </w:hyperlink>
          </w:p>
          <w:p>
            <w:pPr>
              <w:spacing w:after="40" w:line="240" w:lineRule="auto" w:before="40"/>
            </w:pPr>
            <w:hyperlink r:id="rId67">
              <w:r>
                <w:rPr>
                  <w:rFonts w:ascii="Arial" w:hAnsi="Arial" w:eastAsia="Arial" w:cs="Arial"/>
                  <w:sz w:val="20"/>
                  <w:szCs w:val="20"/>
                </w:rPr>
                <w:t>Oranjemund Town Council. (2024). Strategic plan 2024–2029.</w:t>
              </w:r>
            </w:hyperlink>
          </w:p>
          <w:p>
            <w:pPr>
              <w:spacing w:after="40" w:line="240" w:lineRule="auto" w:before="40"/>
            </w:pPr>
            <w:hyperlink r:id="rId69">
              <w:r>
                <w:rPr>
                  <w:rFonts w:ascii="Arial" w:hAnsi="Arial" w:eastAsia="Arial" w:cs="Arial"/>
                  <w:sz w:val="20"/>
                  <w:szCs w:val="20"/>
                </w:rPr>
                <w:t>Organisation for Economic Co-operation and Development. (2020). OECD public integrity handbook. OECD Publishing. https://doi.org/10.1787/ac8ed8e8-en</w:t>
              </w:r>
            </w:hyperlink>
          </w:p>
          <w:p>
            <w:pPr>
              <w:spacing w:after="40" w:line="240" w:lineRule="auto" w:before="40"/>
            </w:pPr>
            <w:hyperlink r:id="rId71">
              <w:r>
                <w:rPr>
                  <w:rFonts w:ascii="Arial" w:hAnsi="Arial" w:eastAsia="Arial" w:cs="Arial"/>
                  <w:sz w:val="20"/>
                  <w:szCs w:val="20"/>
                </w:rPr>
                <w:t>Bright, D. S., &amp; Cortes, A. H. (2019). Principles of management. OpenStax.</w:t>
              </w:r>
            </w:hyperlink>
          </w:p>
          <w:p>
            <w:pPr>
              <w:spacing w:after="40" w:line="240" w:lineRule="auto" w:before="40"/>
            </w:pPr>
            <w:hyperlink r:id="rId72">
              <w:r>
                <w:rPr>
                  <w:rFonts w:ascii="Arial" w:hAnsi="Arial" w:eastAsia="Arial" w:cs="Arial"/>
                  <w:sz w:val="20"/>
                  <w:szCs w:val="20"/>
                </w:rPr>
                <w:t>Kamiya, M., &amp; Zhang, L.-Y. (Eds.). (2017). Finance for city leaders handbook (2nd ed.). UN-Habitat.</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9</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LGPM-5209 – Municipal Project Monitoring and Reporting (Level 5, 12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EO3, EO4, EO5</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Project-monitoring workbook and progress presentation.</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70">
              <w:r>
                <w:rPr>
                  <w:rFonts w:ascii="Arial" w:hAnsi="Arial" w:eastAsia="Arial" w:cs="Arial"/>
                  <w:sz w:val="20"/>
                  <w:szCs w:val="20"/>
                </w:rPr>
                <w:t>Organisation for Economic Co-operation and Development. (2022). OECD guidelines for citizen participation processes. OECD Publishing. https://doi.org/10.1787/f765caf6-en</w:t>
              </w:r>
            </w:hyperlink>
          </w:p>
          <w:p>
            <w:pPr>
              <w:spacing w:after="40" w:line="240" w:lineRule="auto" w:before="40"/>
            </w:pPr>
            <w:hyperlink r:id="rId68">
              <w:r>
                <w:rPr>
                  <w:rFonts w:ascii="Arial" w:hAnsi="Arial" w:eastAsia="Arial" w:cs="Arial"/>
                  <w:sz w:val="20"/>
                  <w:szCs w:val="20"/>
                </w:rPr>
                <w:t>Ministry of Finance, Namibia. (2021). Reference guide to public procurement (Version 1.0).</w:t>
              </w:r>
            </w:hyperlink>
          </w:p>
          <w:p>
            <w:pPr>
              <w:spacing w:after="40" w:line="240" w:lineRule="auto" w:before="40"/>
            </w:pPr>
            <w:hyperlink r:id="rId67">
              <w:r>
                <w:rPr>
                  <w:rFonts w:ascii="Arial" w:hAnsi="Arial" w:eastAsia="Arial" w:cs="Arial"/>
                  <w:sz w:val="20"/>
                  <w:szCs w:val="20"/>
                </w:rPr>
                <w:t>Oranjemund Town Council. (2024). Strategic plan 2024–2029.</w:t>
              </w:r>
            </w:hyperlink>
          </w:p>
          <w:p>
            <w:pPr>
              <w:spacing w:after="40" w:line="240" w:lineRule="auto" w:before="40"/>
            </w:pPr>
            <w:hyperlink r:id="rId69">
              <w:r>
                <w:rPr>
                  <w:rFonts w:ascii="Arial" w:hAnsi="Arial" w:eastAsia="Arial" w:cs="Arial"/>
                  <w:sz w:val="20"/>
                  <w:szCs w:val="20"/>
                </w:rPr>
                <w:t>Organisation for Economic Co-operation and Development. (2020). OECD public integrity handbook. OECD Publishing. https://doi.org/10.1787/ac8ed8e8-en</w:t>
              </w:r>
            </w:hyperlink>
          </w:p>
          <w:p>
            <w:pPr>
              <w:spacing w:after="40" w:line="240" w:lineRule="auto" w:before="40"/>
            </w:pPr>
            <w:hyperlink r:id="rId71">
              <w:r>
                <w:rPr>
                  <w:rFonts w:ascii="Arial" w:hAnsi="Arial" w:eastAsia="Arial" w:cs="Arial"/>
                  <w:sz w:val="20"/>
                  <w:szCs w:val="20"/>
                </w:rPr>
                <w:t>Bright, D. S., &amp; Cortes, A. H. (2019). Principles of management. OpenStax.</w:t>
              </w:r>
            </w:hyperlink>
          </w:p>
          <w:p>
            <w:pPr>
              <w:spacing w:after="40" w:line="240" w:lineRule="auto" w:before="40"/>
            </w:pPr>
            <w:hyperlink r:id="rId72">
              <w:r>
                <w:rPr>
                  <w:rFonts w:ascii="Arial" w:hAnsi="Arial" w:eastAsia="Arial" w:cs="Arial"/>
                  <w:sz w:val="20"/>
                  <w:szCs w:val="20"/>
                </w:rPr>
                <w:t>Kamiya, M., &amp; Zhang, L.-Y. (Eds.). (2017). Finance for city leaders handbook (2nd ed.). UN-Habitat.</w:t>
              </w:r>
            </w:hyperlink>
          </w:p>
        </w:tc>
      </w:tr>
      <w:tr w:rsidR="0020464B" w:rsidRPr="008B6C93" w14:paraId="4559A9F4" w14:textId="77777777" w:rsidTr="002601F3">
        <w:trPr/>
        <w:tc>
          <w:tcPr>
            <w:tcW w:w="567"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10</w:t>
            </w:r>
          </w:p>
        </w:tc>
        <w:tc>
          <w:tcPr>
            <w:tcW w:w="2268" w:type="dxa"/>
            <w:tcBorders>
              <w:top w:val="single" w:sz="4" w:space="0" w:color="000000"/>
              <w:left w:val="single" w:sz="4" w:space="0" w:color="000000"/>
              <w:bottom w:val="single" w:sz="4" w:space="0" w:color="000000"/>
              <w:right w:val="single" w:sz="4" w:space="0" w:color="000000"/>
            </w:tcBorders>
            <w:vAlign w:val="top"/>
          </w:tcPr>
          <w:p>
            <w:pPr>
              <w:spacing w:before="40" w:after="40" w:line="240" w:lineRule="auto"/>
              <w:jc w:val="left"/>
            </w:pPr>
            <w:r>
              <w:rPr>
                <w:rFonts w:ascii="Arial" w:hAnsi="Arial" w:eastAsia="Arial" w:cs="Arial"/>
                <w:b w:val="0"/>
                <w:sz w:val="20"/>
                <w:szCs w:val="20"/>
              </w:rPr>
              <w:t>LGIP-5210 – Integrated Municipal Service Improvement Project (Level 5, 16 credits)</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EO1, EO2, EO3, EO4, EO5, EO6</w:t>
            </w:r>
          </w:p>
        </w:tc>
        <w:tc>
          <w:tcPr>
            <w:tcW w:w="510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t>Individual municipal improvement report, supporting data file and oral defence.</w:t>
            </w:r>
          </w:p>
        </w:tc>
        <w:tc>
          <w:tcPr>
            <w:tcW w:w="56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top"/>
          </w:tcPr>
          <w:p>
            <w:pPr>
              <w:spacing w:before="40" w:after="40" w:line="240" w:lineRule="auto"/>
              <w:jc w:val="left"/>
            </w:pPr>
            <w:r>
              <w:rPr>
                <w:rFonts w:ascii="Arial" w:hAnsi="Arial" w:eastAsia="Arial" w:cs="Arial"/>
                <w:b w:val="0"/>
                <w:sz w:val="20"/>
                <w:szCs w:val="20"/>
              </w:rPr>
            </w:r>
          </w:p>
          <w:p>
            <w:pPr>
              <w:spacing w:after="40" w:line="240" w:lineRule="auto" w:before="40"/>
            </w:pPr>
            <w:hyperlink r:id="rId67">
              <w:r>
                <w:rPr>
                  <w:rFonts w:ascii="Arial" w:hAnsi="Arial" w:eastAsia="Arial" w:cs="Arial"/>
                  <w:sz w:val="20"/>
                  <w:szCs w:val="20"/>
                </w:rPr>
                <w:t>Oranjemund Town Council. (2024). Strategic plan 2024–2029.</w:t>
              </w:r>
            </w:hyperlink>
          </w:p>
          <w:p>
            <w:pPr>
              <w:spacing w:after="40" w:line="240" w:lineRule="auto" w:before="40"/>
            </w:pPr>
            <w:hyperlink r:id="rId68">
              <w:r>
                <w:rPr>
                  <w:rFonts w:ascii="Arial" w:hAnsi="Arial" w:eastAsia="Arial" w:cs="Arial"/>
                  <w:sz w:val="20"/>
                  <w:szCs w:val="20"/>
                </w:rPr>
                <w:t>Ministry of Finance, Namibia. (2021). Reference guide to public procurement (Version 1.0).</w:t>
              </w:r>
            </w:hyperlink>
          </w:p>
          <w:p>
            <w:pPr>
              <w:spacing w:after="40" w:line="240" w:lineRule="auto" w:before="40"/>
            </w:pPr>
            <w:hyperlink r:id="rId79">
              <w:r>
                <w:rPr>
                  <w:rFonts w:ascii="Arial" w:hAnsi="Arial" w:eastAsia="Arial" w:cs="Arial"/>
                  <w:sz w:val="20"/>
                  <w:szCs w:val="20"/>
                </w:rPr>
                <w:t>United Nations Human Settlements Programme. (2022). The global urban monitoring framework.</w:t>
              </w:r>
            </w:hyperlink>
          </w:p>
          <w:p>
            <w:pPr>
              <w:spacing w:after="40" w:line="240" w:lineRule="auto" w:before="40"/>
            </w:pPr>
            <w:hyperlink r:id="rId80">
              <w:r>
                <w:rPr>
                  <w:rFonts w:ascii="Arial" w:hAnsi="Arial" w:eastAsia="Arial" w:cs="Arial"/>
                  <w:sz w:val="20"/>
                  <w:szCs w:val="20"/>
                </w:rPr>
                <w:t>Organisation for Economic Co-operation and Development. (2021). Applying evaluation criteria thoughtfully. OECD Publishing. https://doi.org/10.1787/543e84ed-en</w:t>
              </w:r>
            </w:hyperlink>
          </w:p>
          <w:p>
            <w:pPr>
              <w:spacing w:after="40" w:line="240" w:lineRule="auto" w:before="40"/>
            </w:pPr>
            <w:hyperlink r:id="rId70">
              <w:r>
                <w:rPr>
                  <w:rFonts w:ascii="Arial" w:hAnsi="Arial" w:eastAsia="Arial" w:cs="Arial"/>
                  <w:sz w:val="20"/>
                  <w:szCs w:val="20"/>
                </w:rPr>
                <w:t>Organisation for Economic Co-operation and Development. (2022). OECD guidelines for citizen participation processes. OECD Publishing. https://doi.org/10.1787/f765caf6-en</w:t>
              </w:r>
            </w:hyperlink>
          </w:p>
          <w:p>
            <w:pPr>
              <w:spacing w:after="40" w:line="240" w:lineRule="auto" w:before="40"/>
            </w:pPr>
            <w:hyperlink r:id="rId69">
              <w:r>
                <w:rPr>
                  <w:rFonts w:ascii="Arial" w:hAnsi="Arial" w:eastAsia="Arial" w:cs="Arial"/>
                  <w:sz w:val="20"/>
                  <w:szCs w:val="20"/>
                </w:rPr>
                <w:t>Organisation for Economic Co-operation and Development. (2020). OECD public integrity handbook. OECD Publishing. https://doi.org/10.1787/ac8ed8e8-en</w:t>
              </w:r>
            </w:hyperlink>
          </w:p>
        </w:tc>
      </w:tr>
    </w:tbl>
    <w:p w14:paraId="69544E13"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Comparative Benchmarking</w:t>
      </w:r>
    </w:p>
    <w:p w14:paraId="624416E7" w14:textId="77777777" w:rsidR="00BA2940" w:rsidRPr="008B6C93" w:rsidRDefault="00BA2940" w:rsidP="00BA2940">
      <w:pPr>
        <w:keepNext/>
        <w:spacing w:before="0" w:after="120"/>
        <w:rPr>
          <w:rFonts w:ascii="Arial" w:hAnsi="Arial" w:eastAsia="Arial" w:cs="Arial"/>
          <w:sz w:val="20"/>
          <w:szCs w:val="20"/>
        </w:rPr>
      </w:pPr>
      <w:r w:rsidRPr="008B6C93">
        <w:rPr>
          <w:rFonts w:ascii="Arial" w:hAnsi="Arial" w:eastAsia="Arial" w:cs="Arial"/>
          <w:sz w:val="20"/>
          <w:szCs w:val="20"/>
        </w:rPr>
        <w:t xml:space="preserve">The comparators inform content and assessment design. Foreign levels, credit </w:t>
      </w:r>
      <w:proofErr w:type="gramStart"/>
      <w:r w:rsidRPr="008B6C93">
        <w:rPr>
          <w:rFonts w:ascii="Arial" w:hAnsi="Arial" w:eastAsia="Arial" w:cs="Arial"/>
          <w:sz w:val="20"/>
          <w:szCs w:val="20"/>
        </w:rPr>
        <w:t>values</w:t>
      </w:r>
      <w:proofErr w:type="gramEnd"/>
      <w:r w:rsidRPr="008B6C93">
        <w:rPr>
          <w:rFonts w:ascii="Arial" w:hAnsi="Arial" w:eastAsia="Arial" w:cs="Arial"/>
          <w:sz w:val="20"/>
          <w:szCs w:val="20"/>
        </w:rPr>
        <w:t xml:space="preserve"> and occupational privileges are not treated as equivalent to this proposed Namibian qualification.</w:t>
      </w:r>
    </w:p>
    <w:tbl>
      <w:tblPr>
        <w:tblStyle w:val="TableGrid"/>
        <w:tblW w:w="0" w:type="auto"/>
        <w:tblInd w:w="108" w:type="dxa"/>
        <w:tblLook w:val="04A0" w:firstRow="1" w:lastRow="0" w:firstColumn="1" w:lastColumn="0" w:noHBand="0" w:noVBand="1"/>
      </w:tblPr>
      <w:tblGrid>
        <w:gridCol w:w="1701"/>
        <w:gridCol w:w="3119"/>
        <w:gridCol w:w="2977"/>
        <w:gridCol w:w="2268"/>
        <w:gridCol w:w="5067"/>
      </w:tblGrid>
      <w:tr w:rsidR="00BA2940" w:rsidRPr="008B6C93" w14:paraId="328A2D6D" w14:textId="77777777" w:rsidTr="00BA2940">
        <w:trPr>
          <w:tblHeader/>
        </w:trPr>
        <w:tc>
          <w:tcPr>
            <w:tcW w:w="1701" w:type="dxa"/>
            <w:shd w:val="clear" w:color="auto" w:fill="D9D9D9" w:themeFill="background1" w:themeFillShade="D9"/>
            <w:vAlign w:val="top"/>
          </w:tcPr>
          <w:p w14:paraId="1FCA3176" w14:textId="628226F2"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w:t>
            </w:r>
          </w:p>
        </w:tc>
        <w:tc>
          <w:tcPr>
            <w:tcW w:w="3119" w:type="dxa"/>
            <w:shd w:val="clear" w:color="auto" w:fill="D9D9D9" w:themeFill="background1" w:themeFillShade="D9"/>
            <w:vAlign w:val="top"/>
          </w:tcPr>
          <w:p w14:paraId="2AD83BB5" w14:textId="00682825"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Comparator and source</w:t>
            </w:r>
          </w:p>
        </w:tc>
        <w:tc>
          <w:tcPr>
            <w:tcW w:w="2977" w:type="dxa"/>
            <w:shd w:val="clear" w:color="auto" w:fill="D9D9D9" w:themeFill="background1" w:themeFillShade="D9"/>
            <w:vAlign w:val="top"/>
          </w:tcPr>
          <w:p w14:paraId="44775F4D" w14:textId="36D8BC47"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features</w:t>
            </w:r>
          </w:p>
        </w:tc>
        <w:tc>
          <w:tcPr>
            <w:tcW w:w="2268" w:type="dxa"/>
            <w:shd w:val="clear" w:color="auto" w:fill="D9D9D9" w:themeFill="background1" w:themeFillShade="D9"/>
            <w:vAlign w:val="top"/>
          </w:tcPr>
          <w:p w14:paraId="328FF0EE" w14:textId="33BBC969"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71A99C6" w14:textId="462A8C4C"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Adaptation and limits</w:t>
            </w:r>
          </w:p>
        </w:tc>
      </w:tr>
      <w:tr w:rsidR="00BA2940" w:rsidRPr="008B6C93" w14:paraId="6C979BF1" w14:textId="77777777" w:rsidTr="00BA2940">
        <w:trPr/>
        <w:tc>
          <w:tcPr>
            <w:tcW w:w="1701" w:type="dxa"/>
            <w:vAlign w:val="top"/>
          </w:tcPr>
          <w:p>
            <w:pPr>
              <w:spacing w:before="40" w:after="40" w:line="240" w:lineRule="auto"/>
              <w:jc w:val="left"/>
            </w:pPr>
            <w:r>
              <w:rPr>
                <w:rFonts w:ascii="Arial" w:hAnsi="Arial" w:eastAsia="Arial" w:cs="Arial"/>
                <w:b w:val="0"/>
                <w:sz w:val="20"/>
                <w:szCs w:val="20"/>
              </w:rPr>
              <w:t>Comparative curriculum design</w:t>
            </w:r>
          </w:p>
        </w:tc>
        <w:tc>
          <w:tcPr>
            <w:tcW w:w="3119" w:type="dxa"/>
            <w:vAlign w:val="top"/>
          </w:tcPr>
          <w:p>
            <w:pPr>
              <w:spacing w:before="40" w:after="40" w:line="240" w:lineRule="auto"/>
              <w:jc w:val="left"/>
            </w:pPr>
            <w:r>
              <w:rPr>
                <w:rFonts w:ascii="Arial" w:hAnsi="Arial" w:eastAsia="Arial" w:cs="Arial"/>
                <w:b w:val="0"/>
                <w:sz w:val="20"/>
                <w:szCs w:val="20"/>
              </w:rPr>
              <w:t>Current Level 5 benchmarking report for OCOL-5026</w:t>
            </w:r>
          </w:p>
        </w:tc>
        <w:tc>
          <w:tcPr>
            <w:tcW w:w="2977" w:type="dxa"/>
            <w:vAlign w:val="top"/>
          </w:tcPr>
          <w:p>
            <w:pPr>
              <w:spacing w:before="40" w:after="40" w:line="240" w:lineRule="auto"/>
              <w:jc w:val="left"/>
            </w:pPr>
            <w:r>
              <w:rPr>
                <w:rFonts w:ascii="Arial" w:hAnsi="Arial" w:eastAsia="Arial" w:cs="Arial"/>
                <w:b w:val="0"/>
                <w:sz w:val="20"/>
                <w:szCs w:val="20"/>
              </w:rPr>
              <w:t>A South African Level 5, 120-credit local government award supports the broad scope and workload comparison, while NAMCOL’s Level 4 certificate supplies a local feeder reference. Neither establishes equivalence, admission rights or exemption from Namibia’s approval requirements. The named comparators and their scope differences are documented in the accompanying Benchmarking Report.</w:t>
            </w:r>
          </w:p>
        </w:tc>
        <w:tc>
          <w:tcPr>
            <w:tcW w:w="2268" w:type="dxa"/>
            <w:vAlign w:val="top"/>
          </w:tcPr>
          <w:p>
            <w:pPr>
              <w:spacing w:before="40" w:after="40" w:line="240" w:lineRule="auto"/>
              <w:jc w:val="left"/>
            </w:pPr>
            <w:r>
              <w:rPr>
                <w:rFonts w:ascii="Arial" w:hAnsi="Arial" w:eastAsia="Arial" w:cs="Arial"/>
                <w:b w:val="0"/>
                <w:sz w:val="20"/>
                <w:szCs w:val="20"/>
              </w:rPr>
              <w:t>LGGE-5103, LGRA-5104, LGFR-5105, LGSD-5206, LGPA-5207, LGCP-5208, LGPM-5209, LGIP-5210</w:t>
            </w:r>
          </w:p>
        </w:tc>
        <w:tc>
          <w:tcPr>
            <w:tcW w:w="5067" w:type="dxa"/>
            <w:vAlign w:val="top"/>
          </w:tcPr>
          <w:p>
            <w:pPr>
              <w:spacing w:before="40" w:after="40" w:line="240" w:lineRule="auto"/>
              <w:jc w:val="left"/>
            </w:pPr>
            <w:r>
              <w:rPr>
                <w:rFonts w:ascii="Arial" w:hAnsi="Arial" w:eastAsia="Arial" w:cs="Arial"/>
                <w:b w:val="0"/>
                <w:sz w:val="20"/>
                <w:szCs w:val="20"/>
              </w:rPr>
              <w:t>Comparators inform content and assessment; no automatic equivalence, professional status or credit transfer is claimed.</w:t>
            </w:r>
          </w:p>
        </w:tc>
      </w:tr>
    </w:tbl>
    <w:p w14:paraId="6AE23700" w14:textId="77777777" w:rsidR="00BA2940" w:rsidRPr="008B6C93" w:rsidRDefault="00BA2940" w:rsidP="00BA2940">
      <w:pPr>
        <w:pStyle w:val="Heading1"/>
        <w:spacing w:before="0" w:after="120"/>
        <w:rPr>
          <w:rFonts w:ascii="Arial" w:hAnsi="Arial" w:eastAsia="Arial" w:cs="Arial"/>
          <w:sz w:val="20"/>
          <w:szCs w:val="20"/>
        </w:rPr>
      </w:pPr>
      <w:r w:rsidRPr="008B6C93">
        <w:rPr>
          <w:rFonts w:ascii="Arial" w:hAnsi="Arial" w:eastAsia="Arial" w:cs="Arial"/>
          <w:sz w:val="20"/>
          <w:szCs w:val="20"/>
        </w:rPr>
        <w:t>Oranjemund and Regional Needs</w:t>
      </w:r>
    </w:p>
    <w:tbl>
      <w:tblPr>
        <w:tblStyle w:val="TableGrid"/>
        <w:tblW w:w="0" w:type="auto"/>
        <w:tblInd w:w="108" w:type="dxa"/>
        <w:tblLook w:val="04A0" w:firstRow="1" w:lastRow="0" w:firstColumn="1" w:lastColumn="0" w:noHBand="0" w:noVBand="1"/>
      </w:tblPr>
      <w:tblGrid>
        <w:gridCol w:w="3702"/>
        <w:gridCol w:w="3810"/>
        <w:gridCol w:w="2553"/>
        <w:gridCol w:w="5067"/>
      </w:tblGrid>
      <w:tr w:rsidR="00BA2940" w:rsidRPr="008B6C93" w14:paraId="2FDFB843" w14:textId="77777777" w:rsidTr="009D0658">
        <w:trPr>
          <w:tblHeader/>
        </w:trPr>
        <w:tc>
          <w:tcPr>
            <w:tcW w:w="3702" w:type="dxa"/>
            <w:shd w:val="clear" w:color="auto" w:fill="D9D9D9" w:themeFill="background1" w:themeFillShade="D9"/>
            <w:vAlign w:val="top"/>
          </w:tcPr>
          <w:p w14:paraId="20E70E69" w14:textId="0E89EDC3"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Contextual need</w:t>
            </w:r>
          </w:p>
        </w:tc>
        <w:tc>
          <w:tcPr>
            <w:tcW w:w="3810" w:type="dxa"/>
            <w:shd w:val="clear" w:color="auto" w:fill="D9D9D9" w:themeFill="background1" w:themeFillShade="D9"/>
            <w:vAlign w:val="top"/>
          </w:tcPr>
          <w:p w14:paraId="5B20949B" w14:textId="1715341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Evidence source</w:t>
            </w:r>
          </w:p>
        </w:tc>
        <w:tc>
          <w:tcPr>
            <w:tcW w:w="2553" w:type="dxa"/>
            <w:shd w:val="clear" w:color="auto" w:fill="D9D9D9" w:themeFill="background1" w:themeFillShade="D9"/>
            <w:vAlign w:val="top"/>
          </w:tcPr>
          <w:p w14:paraId="0BF1DC92" w14:textId="237C8EE8"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067" w:type="dxa"/>
            <w:shd w:val="clear" w:color="auto" w:fill="D9D9D9" w:themeFill="background1" w:themeFillShade="D9"/>
            <w:vAlign w:val="top"/>
          </w:tcPr>
          <w:p w14:paraId="58A793D8" w14:textId="7C831C5D"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Assessed learning response</w:t>
            </w:r>
          </w:p>
        </w:tc>
      </w:tr>
      <w:tr w:rsidR="00BA2940" w:rsidRPr="008B6C93" w14:paraId="6C177CFC" w14:textId="77777777" w:rsidTr="009D0658">
        <w:trPr/>
        <w:tc>
          <w:tcPr>
            <w:tcW w:w="3702" w:type="dxa"/>
            <w:vAlign w:val="top"/>
          </w:tcPr>
          <w:p>
            <w:pPr>
              <w:spacing w:before="40" w:after="40" w:line="240" w:lineRule="auto"/>
              <w:jc w:val="left"/>
            </w:pPr>
            <w:r>
              <w:rPr>
                <w:rFonts w:ascii="Arial" w:hAnsi="Arial" w:eastAsia="Arial" w:cs="Arial"/>
                <w:b w:val="0"/>
                <w:sz w:val="20"/>
                <w:szCs w:val="20"/>
              </w:rPr>
              <w:t>Programme rationale and regional context</w:t>
            </w:r>
          </w:p>
        </w:tc>
        <w:tc>
          <w:tcPr>
            <w:tcW w:w="3810" w:type="dxa"/>
            <w:vAlign w:val="top"/>
          </w:tcPr>
          <w:p>
            <w:pPr>
              <w:spacing w:before="40" w:after="40" w:line="240" w:lineRule="auto"/>
              <w:jc w:val="left"/>
            </w:pPr>
            <w:r>
              <w:rPr>
                <w:rFonts w:ascii="Arial" w:hAnsi="Arial" w:eastAsia="Arial" w:cs="Arial"/>
                <w:b w:val="0"/>
                <w:sz w:val="20"/>
                <w:szCs w:val="20"/>
              </w:rPr>
              <w:t>Oranjemund’s town transformation and municipal service priorities support applied training in records, revenue, procurement, public participation and performance reporting. The evidence establishes relevant administrative functions, not funded posts or an agreed municipal recruitment pipeline.</w:t>
            </w:r>
          </w:p>
        </w:tc>
        <w:tc>
          <w:tcPr>
            <w:tcW w:w="2553" w:type="dxa"/>
            <w:vAlign w:val="top"/>
          </w:tcPr>
          <w:p>
            <w:pPr>
              <w:spacing w:before="40" w:after="40" w:line="240" w:lineRule="auto"/>
              <w:jc w:val="left"/>
            </w:pPr>
            <w:r>
              <w:rPr>
                <w:rFonts w:ascii="Arial" w:hAnsi="Arial" w:eastAsia="Arial" w:cs="Arial"/>
                <w:b w:val="0"/>
                <w:sz w:val="20"/>
                <w:szCs w:val="20"/>
              </w:rPr>
              <w:t>LGGE-5103, LGRA-5104, LGFR-5105, LGSD-5206, LGPA-5207, LGCP-5208, LGPM-5209, LGIP-5210</w:t>
            </w:r>
          </w:p>
        </w:tc>
        <w:tc>
          <w:tcPr>
            <w:tcW w:w="5067" w:type="dxa"/>
            <w:vAlign w:val="top"/>
          </w:tcPr>
          <w:p>
            <w:pPr>
              <w:spacing w:before="40" w:after="40" w:line="240" w:lineRule="auto"/>
              <w:jc w:val="left"/>
            </w:pPr>
            <w:r>
              <w:rPr>
                <w:rFonts w:ascii="Arial" w:hAnsi="Arial" w:eastAsia="Arial" w:cs="Arial"/>
                <w:b w:val="0"/>
                <w:sz w:val="20"/>
                <w:szCs w:val="20"/>
              </w:rPr>
              <w:t>The individual integrated project and module assessment evidence listed above test the proposed capabilities. The separate needs analysis retains unresolved demand and consultation evidence.</w:t>
            </w:r>
          </w:p>
        </w:tc>
      </w:tr>
    </w:tbl>
    <w:p w14:paraId="730E0EBC" w14:textId="77777777" w:rsidR="00C65B51" w:rsidRPr="008B6C93" w:rsidRDefault="00000000">
      <w:pPr>
        <w:pStyle w:val="Heading1"/>
        <w:spacing w:before="0" w:after="120"/>
        <w:rPr>
          <w:rFonts w:ascii="Arial" w:hAnsi="Arial" w:eastAsia="Arial" w:cs="Arial"/>
          <w:sz w:val="20"/>
          <w:szCs w:val="20"/>
        </w:rPr>
      </w:pPr>
      <w:r w:rsidRPr="008B6C93">
        <w:rPr>
          <w:rFonts w:ascii="Arial" w:hAnsi="Arial" w:eastAsia="Arial" w:cs="Arial"/>
          <w:sz w:val="20"/>
          <w:szCs w:val="20"/>
        </w:rPr>
        <w:lastRenderedPageBreak/>
        <w:t>National and Sector Policy Alignment</w:t>
      </w:r>
    </w:p>
    <w:tbl>
      <w:tblPr>
        <w:tblStyle w:val="TableGrid"/>
        <w:tblW w:w="0" w:type="auto"/>
        <w:tblInd w:w="108" w:type="dxa"/>
        <w:tblLook w:val="04A0" w:firstRow="1" w:lastRow="0" w:firstColumn="1" w:lastColumn="0" w:noHBand="0" w:noVBand="1"/>
      </w:tblPr>
      <w:tblGrid>
        <w:gridCol w:w="2977"/>
        <w:gridCol w:w="4535"/>
        <w:gridCol w:w="1702"/>
        <w:gridCol w:w="5918"/>
      </w:tblGrid>
      <w:tr w:rsidR="00BA2940" w:rsidRPr="008B6C93" w14:paraId="67318C23" w14:textId="77777777" w:rsidTr="00BA2940">
        <w:trPr>
          <w:tblHeader/>
        </w:trPr>
        <w:tc>
          <w:tcPr>
            <w:tcW w:w="2977" w:type="dxa"/>
            <w:shd w:val="clear" w:color="auto" w:fill="D9D9D9" w:themeFill="background1" w:themeFillShade="D9"/>
            <w:vAlign w:val="top"/>
          </w:tcPr>
          <w:p w14:paraId="28A1F241" w14:textId="5CBFF13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Policy or framework</w:t>
            </w:r>
          </w:p>
        </w:tc>
        <w:tc>
          <w:tcPr>
            <w:tcW w:w="4535" w:type="dxa"/>
            <w:shd w:val="clear" w:color="auto" w:fill="D9D9D9" w:themeFill="background1" w:themeFillShade="D9"/>
            <w:vAlign w:val="top"/>
          </w:tcPr>
          <w:p w14:paraId="67D77324" w14:textId="6A0E9874"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Relevant priority or theme</w:t>
            </w:r>
          </w:p>
        </w:tc>
        <w:tc>
          <w:tcPr>
            <w:tcW w:w="1702" w:type="dxa"/>
            <w:shd w:val="clear" w:color="auto" w:fill="D9D9D9" w:themeFill="background1" w:themeFillShade="D9"/>
            <w:vAlign w:val="top"/>
          </w:tcPr>
          <w:p w14:paraId="4F690983" w14:textId="4CFB8BCE"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Modules</w:t>
            </w:r>
          </w:p>
        </w:tc>
        <w:tc>
          <w:tcPr>
            <w:tcW w:w="5918" w:type="dxa"/>
            <w:shd w:val="clear" w:color="auto" w:fill="D9D9D9" w:themeFill="background1" w:themeFillShade="D9"/>
            <w:vAlign w:val="top"/>
          </w:tcPr>
          <w:p w14:paraId="0B9ED3D7" w14:textId="692F4CBA" w:rsidR="00BA2940" w:rsidRPr="008B6C93" w:rsidRDefault="00BA2940" w:rsidP="00BA2940">
            <w:pPr>
              <w:keepNext/>
              <w:spacing w:line="240" w:lineRule="auto" w:before="40" w:after="40"/>
              <w:jc w:val="left"/>
              <w:rPr>
                <w:rFonts w:ascii="Arial" w:hAnsi="Arial" w:eastAsia="Arial" w:cs="Arial"/>
                <w:color w:val="000000" w:themeColor="text1"/>
                <w:sz w:val="20"/>
                <w:szCs w:val="20"/>
              </w:rPr>
            </w:pPr>
            <w:r w:rsidRPr="008B6C93">
              <w:rPr>
                <w:rFonts w:ascii="Arial" w:hAnsi="Arial" w:eastAsia="Arial" w:cs="Arial"/>
                <w:b/>
                <w:color w:val="000000" w:themeColor="text1"/>
                <w:sz w:val="20"/>
                <w:szCs w:val="20"/>
              </w:rPr>
              <w:t>Curriculum response</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Namibian National Qualifications Framework: GN 125 of 2006, regulation 5 and Annexures A and C</w:t>
            </w:r>
          </w:p>
        </w:tc>
        <w:tc>
          <w:tcPr>
            <w:tcW w:w="4535" w:type="dxa"/>
            <w:vAlign w:val="top"/>
          </w:tcPr>
          <w:p>
            <w:pPr>
              <w:spacing w:before="40" w:after="40" w:line="240" w:lineRule="auto"/>
              <w:jc w:val="left"/>
            </w:pPr>
            <w:r>
              <w:rPr>
                <w:rFonts w:ascii="Arial" w:hAnsi="Arial" w:eastAsia="Arial" w:cs="Arial"/>
                <w:b w:val="0"/>
                <w:sz w:val="20"/>
                <w:szCs w:val="20"/>
              </w:rPr>
              <w:t>Level descriptors, qualification specification and ten notional hours per credit</w:t>
            </w:r>
          </w:p>
        </w:tc>
        <w:tc>
          <w:tcPr>
            <w:tcW w:w="1702" w:type="dxa"/>
            <w:vAlign w:val="top"/>
          </w:tcPr>
          <w:p>
            <w:pPr>
              <w:spacing w:before="40" w:after="40" w:line="240" w:lineRule="auto"/>
              <w:jc w:val="left"/>
            </w:pPr>
            <w:r>
              <w:rPr>
                <w:rFonts w:ascii="Arial" w:hAnsi="Arial" w:eastAsia="Arial" w:cs="Arial"/>
                <w:b w:val="0"/>
                <w:sz w:val="20"/>
                <w:szCs w:val="20"/>
              </w:rPr>
              <w:t>All modules</w:t>
            </w:r>
          </w:p>
        </w:tc>
        <w:tc>
          <w:tcPr>
            <w:tcW w:w="5918" w:type="dxa"/>
            <w:vAlign w:val="top"/>
          </w:tcPr>
          <w:p>
            <w:pPr>
              <w:spacing w:before="40" w:after="40" w:line="240" w:lineRule="auto"/>
              <w:jc w:val="left"/>
            </w:pPr>
            <w:r>
              <w:rPr>
                <w:rFonts w:ascii="Arial" w:hAnsi="Arial" w:eastAsia="Arial" w:cs="Arial"/>
                <w:b w:val="0"/>
                <w:sz w:val="20"/>
                <w:szCs w:val="20"/>
              </w:rPr>
              <w:t>Level 5 outcomes, 120 credits, 1,200 notional hours and explicit assessment mapping. Registration and approval are not asserted.</w:t>
            </w:r>
          </w:p>
        </w:tc>
      </w:tr>
      <w:tr w:rsidR="00BA2940" w:rsidRPr="008B6C93" w14:paraId="601804E2" w14:textId="77777777" w:rsidTr="00BA2940">
        <w:trPr/>
        <w:tc>
          <w:tcPr>
            <w:tcW w:w="2977" w:type="dxa"/>
            <w:vAlign w:val="top"/>
          </w:tcPr>
          <w:p>
            <w:pPr>
              <w:spacing w:before="40" w:after="40" w:line="240" w:lineRule="auto"/>
              <w:jc w:val="left"/>
            </w:pPr>
            <w:r>
              <w:rPr>
                <w:rFonts w:ascii="Arial" w:hAnsi="Arial" w:eastAsia="Arial" w:cs="Arial"/>
                <w:b w:val="0"/>
                <w:sz w:val="20"/>
                <w:szCs w:val="20"/>
              </w:rPr>
              <w:t>UNESCO (2024). AI competency framework for students.</w:t>
            </w:r>
          </w:p>
        </w:tc>
        <w:tc>
          <w:tcPr>
            <w:tcW w:w="4535" w:type="dxa"/>
            <w:vAlign w:val="top"/>
          </w:tcPr>
          <w:p>
            <w:pPr>
              <w:spacing w:before="40" w:after="40" w:line="240" w:lineRule="auto"/>
              <w:jc w:val="left"/>
            </w:pPr>
            <w:r>
              <w:rPr>
                <w:rFonts w:ascii="Arial" w:hAnsi="Arial" w:eastAsia="Arial" w:cs="Arial"/>
                <w:b w:val="0"/>
                <w:sz w:val="20"/>
                <w:szCs w:val="20"/>
              </w:rPr>
              <w:t>Responsible AI use, critical evaluation and human oversight</w:t>
            </w:r>
          </w:p>
        </w:tc>
        <w:tc>
          <w:tcPr>
            <w:tcW w:w="1702" w:type="dxa"/>
            <w:vAlign w:val="top"/>
          </w:tcPr>
          <w:p>
            <w:pPr>
              <w:spacing w:before="40" w:after="40" w:line="240" w:lineRule="auto"/>
              <w:jc w:val="left"/>
            </w:pPr>
            <w:r>
              <w:rPr>
                <w:rFonts w:ascii="Arial" w:hAnsi="Arial" w:eastAsia="Arial" w:cs="Arial"/>
                <w:b w:val="0"/>
                <w:sz w:val="20"/>
                <w:szCs w:val="20"/>
              </w:rPr>
              <w:t>PISY-5102; ECAW-5101</w:t>
            </w:r>
          </w:p>
        </w:tc>
        <w:tc>
          <w:tcPr>
            <w:tcW w:w="5918" w:type="dxa"/>
            <w:vAlign w:val="top"/>
          </w:tcPr>
          <w:p>
            <w:pPr>
              <w:spacing w:before="40" w:after="40" w:line="240" w:lineRule="auto"/>
              <w:jc w:val="left"/>
            </w:pPr>
            <w:r>
              <w:rPr>
                <w:rFonts w:ascii="Arial" w:hAnsi="Arial" w:eastAsia="Arial" w:cs="Arial"/>
                <w:b w:val="0"/>
                <w:sz w:val="20"/>
                <w:szCs w:val="20"/>
              </w:rPr>
              <w:t>Verify AI-assisted outputs, disclose permitted assistance, protect data and retain individual evidence. The framework informs teaching rather than conferring regulatory approval.</w:t>
            </w:r>
          </w:p>
        </w:tc>
      </w:tr>
    </w:tbl>
    <w:sectPr w:rsidR="00C65B51" w:rsidRPr="008B6C93" w:rsidSect="00BA2940">
      <w:pgSz w:w="16838" w:h="11906" w:orient="landscape"/>
      <w:pgMar w:top="907" w:right="850" w:bottom="907" w:left="850"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AC7AD1E" w14:textId="77777777" w:rsidR="00B31F24" w:rsidRDefault="00B31F24">
      <w:pPr>
        <w:spacing w:after="0" w:line="240" w:lineRule="auto"/>
      </w:pPr>
      <w:r>
        <w:rPr>
          <w:rFonts w:ascii="Arial" w:hAnsi="Arial" w:eastAsia="Arial" w:cs="Arial"/>
          <w:sz w:val="20"/>
          <w:szCs w:val="20"/>
        </w:rPr>
        <w:separator/>
      </w:r>
    </w:p>
  </w:endnote>
  <w:endnote w:type="continuationSeparator" w:id="0">
    <w:p w14:paraId="386D6CAD" w14:textId="77777777" w:rsidR="00B31F24" w:rsidRDefault="00B31F24">
      <w:pPr>
        <w:spacing w:after="0" w:line="240" w:lineRule="auto"/>
      </w:pPr>
      <w:r>
        <w:rPr>
          <w:rFonts w:ascii="Arial" w:hAnsi="Arial" w:eastAsia="Arial" w:cs="Arial"/>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D52EE" w14:textId="77777777" w:rsidR="00C65B51" w:rsidRDefault="00000000">
    <w:pPr>
      <w:jc w:val="center"/>
    </w:pPr>
    <w:r>
      <w:rPr>
        <w:sz w:val="20"/>
        <w:rFonts w:ascii="Arial" w:hAnsi="Arial" w:eastAsia="Arial" w:cs="Arial"/>
        <w:szCs w:val="20"/>
      </w:rPr>
      <w:t>Oranjemund College | Qualification structure</w:t>
    </w:r>
  </w:p>
  <w:p w14:paraId="174331D4" w14:textId="77777777" w:rsidR="00C65B51" w:rsidRDefault="00000000">
    <w:pPr>
      <w:pStyle w:val="Footer"/>
      <w:jc w:val="center"/>
    </w:pPr>
    <w:r>
      <w:rPr>
        <w:rFonts w:ascii="Arial" w:hAnsi="Arial" w:eastAsia="Arial" w:cs="Arial"/>
        <w:sz w:val="20"/>
        <w:szCs w:val="20"/>
      </w:rPr>
    </w:r>
    <w:r>
      <w:rPr>
        <w:rFonts w:ascii="Arial" w:hAnsi="Arial" w:eastAsia="Arial" w:cs="Arial"/>
        <w:sz w:val="20"/>
        <w:szCs w:val="20"/>
      </w:rPr>
    </w:r>
    <w:r>
      <w:rPr>
        <w:rFonts w:ascii="Arial" w:hAnsi="Arial" w:eastAsia="Arial" w:cs="Arial"/>
        <w:sz w:val="20"/>
        <w:szCs w:val="20"/>
      </w:rPr>
    </w:r>
    <w:fldSimple w:instr="PAGE">
      <w:r w:rsidR="008F64FC">
        <w:rPr>
          <w:noProof/>
          <w:rFonts w:ascii="Arial" w:hAnsi="Arial" w:eastAsia="Arial" w:cs="Arial"/>
          <w:sz w:val="20"/>
          <w:szCs w:val="20"/>
        </w:rPr>
        <w:t>1</w:t>
      </w:r>
    </w:fldSimple>
    <w:r>
      <w:rPr>
        <w:rFonts w:ascii="Arial" w:hAnsi="Arial" w:eastAsia="Arial" w:cs="Arial"/>
        <w:sz w:val="20"/>
        <w:szCs w:val="20"/>
      </w:rP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A55A5D" w14:textId="77777777" w:rsidR="00B31F24" w:rsidRDefault="00B31F24">
      <w:pPr>
        <w:spacing w:after="0" w:line="240" w:lineRule="auto"/>
      </w:pPr>
      <w:r>
        <w:rPr>
          <w:rFonts w:ascii="Arial" w:hAnsi="Arial" w:eastAsia="Arial" w:cs="Arial"/>
          <w:sz w:val="20"/>
          <w:szCs w:val="20"/>
        </w:rPr>
        <w:separator/>
      </w:r>
    </w:p>
  </w:footnote>
  <w:footnote w:type="continuationSeparator" w:id="0">
    <w:p w14:paraId="7AD2630E" w14:textId="77777777" w:rsidR="00B31F24" w:rsidRDefault="00B31F24">
      <w:pPr>
        <w:spacing w:after="0" w:line="240" w:lineRule="auto"/>
      </w:pPr>
      <w:r>
        <w:rPr>
          <w:rFonts w:ascii="Arial" w:hAnsi="Arial" w:eastAsia="Arial" w:cs="Arial"/>
          <w:sz w:val="20"/>
          <w:szCs w:val="20"/>
        </w:rPr>
        <w:continuationSeparator/>
      </w:r>
    </w:p>
  </w:footnote>
  <w:footnote w:id="1">
    <w:p w14:paraId="6FC62178"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broad classification of learning under the NQF, identifying the primary discipline area in which the qualification is placed.</w:t>
      </w:r>
    </w:p>
  </w:footnote>
  <w:footnote w:id="2">
    <w:p w14:paraId="3481F3F7"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Represents the unique institutional identifier assigned to the qualification for academic, administrative, and reporting purposes.</w:t>
      </w:r>
    </w:p>
  </w:footnote>
  <w:footnote w:id="3">
    <w:p w14:paraId="7879277D"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qualification’s position within the Namibia Qualifications Framework and reflects the complexity, knowledge depth, and skills expected at that level.</w:t>
      </w:r>
    </w:p>
  </w:footnote>
  <w:footnote w:id="4">
    <w:p w14:paraId="5AECE1AA"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Refers to the full volume of credits allocated across all modules that make up the qualification, based on the NQF requirement that one credit equates to ten notional hours of learning.</w:t>
      </w:r>
    </w:p>
  </w:footnote>
  <w:footnote w:id="5">
    <w:p w14:paraId="4C9A2F51" w14:textId="77777777" w:rsidR="008F64FC" w:rsidRPr="005A3FFB" w:rsidRDefault="008F64FC" w:rsidP="008F64FC">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minimum number of credits a learner must successfully attain to be awarded the qualification.</w:t>
      </w:r>
    </w:p>
  </w:footnote>
  <w:footnote w:id="6">
    <w:p w14:paraId="092FC64B" w14:textId="77777777" w:rsidR="00885E26" w:rsidRPr="005A3FFB" w:rsidRDefault="00885E26" w:rsidP="00885E26">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The qualification structure outlines the organised arrangement of all modules that make up the qualification, indicating their codes, titles, NQF levels, and associated credits. It specifies the compulsory components a learner must complete to attain the qualification and reflects the prescribed distribution of learning in line with NQF credit and level requirements.</w:t>
      </w:r>
    </w:p>
  </w:footnote>
  <w:footnote w:id="7">
    <w:p w14:paraId="0B9A5C3F" w14:textId="77777777" w:rsidR="0082754C" w:rsidRPr="005A3FFB" w:rsidRDefault="0082754C" w:rsidP="0082754C">
      <w:pPr>
        <w:pStyle w:val="FootnoteText"/>
        <w:spacing w:line="240" w:lineRule="auto"/>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This framework defines the structured allocation of learning hours per credit across contact teaching, directed learning, and independent study, ensuring consistency, transparency, and compliance with NQF credit guidelines.</w:t>
      </w:r>
    </w:p>
  </w:footnote>
  <w:footnote w:id="8">
    <w:p w14:paraId="257DDE7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Indicates the stage of study within the qualification in which the module is delivered.</w:t>
      </w:r>
    </w:p>
  </w:footnote>
  <w:footnote w:id="9">
    <w:p w14:paraId="68CB9002"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Specifies the academic semester during which the module is offered.</w:t>
      </w:r>
    </w:p>
  </w:footnote>
  <w:footnote w:id="10">
    <w:p w14:paraId="64607956"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State the measurable abilities a learner must achieve upon completing the module, aligned with the NQF Level and expressed using active verbs.</w:t>
      </w:r>
    </w:p>
  </w:footnote>
  <w:footnote w:id="11">
    <w:p w14:paraId="641BC590"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 xml:space="preserve">Indicates the overarching field of learning under which the module is classified, as defined in the NQF Classification System. Namibia has 12 broad fields of learning. </w:t>
      </w:r>
    </w:p>
  </w:footnote>
  <w:footnote w:id="12">
    <w:p w14:paraId="1876FFAE" w14:textId="77777777" w:rsidR="00484777" w:rsidRPr="005A3FFB" w:rsidRDefault="00484777" w:rsidP="00484777">
      <w:pPr>
        <w:pStyle w:val="FootnoteText"/>
        <w:spacing w:after="0" w:line="240" w:lineRule="auto"/>
        <w:contextualSpacing/>
        <w:jc w:val="both"/>
        <w:rPr>
          <w:rFonts w:ascii="Arial" w:hAnsi="Arial" w:eastAsia="Arial" w:cs="Arial"/>
          <w:sz w:val="20"/>
          <w:szCs w:val="20"/>
        </w:rPr>
      </w:pPr>
      <w:r w:rsidRPr="005A3FFB">
        <w:rPr>
          <w:rStyle w:val="FootnoteReference"/>
          <w:rFonts w:ascii="Arial" w:hAnsi="Arial" w:eastAsia="Arial" w:cs="Arial"/>
          <w:sz w:val="20"/>
          <w:szCs w:val="20"/>
        </w:rPr>
        <w:footnoteRef/>
      </w:r>
      <w:r w:rsidRPr="005A3FFB">
        <w:rPr>
          <w:rFonts w:ascii="Arial" w:hAnsi="Arial" w:eastAsia="Arial" w:cs="Arial"/>
          <w:sz w:val="20"/>
          <w:szCs w:val="20"/>
        </w:rPr>
        <w:t xml:space="preserve"> </w:t>
      </w:r>
      <w:r w:rsidRPr="005A3FFB">
        <w:rPr>
          <w:rFonts w:ascii="Arial" w:hAnsi="Arial" w:eastAsia="Arial" w:cs="Arial"/>
          <w:color w:val="000000"/>
          <w:sz w:val="20"/>
          <w:szCs w:val="20"/>
        </w:rPr>
        <w:t>Denotes the specific sub-category of learning within the broad field, ensuring accurate placement of the module in the NQF Classification System.</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Arial" w:hAnsi="Arial" w:eastAsia="Arial" w:cs="Arial"/>
        <w:sz w:val="20"/>
        <w:szCs w:val="20"/>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Arial" w:hAnsi="Arial" w:eastAsia="Arial" w:cs="Arial"/>
        <w:sz w:val="20"/>
        <w:szCs w:val="20"/>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Arial" w:hAnsi="Arial" w:eastAsia="Arial" w:cs="Arial"/>
        <w:sz w:val="20"/>
        <w:szCs w:val="20"/>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Arial" w:hAnsi="Arial" w:eastAsia="Arial" w:cs="Arial"/>
        <w:sz w:val="20"/>
        <w:szCs w:val="20"/>
      </w:rPr>
    </w:lvl>
  </w:abstractNum>
  <w:abstractNum w:abstractNumId="9" w15:restartNumberingAfterBreak="0">
    <w:nsid w:val="01652FE9"/>
    <w:multiLevelType w:val="hybridMultilevel"/>
    <w:tmpl w:val="87B80410"/>
    <w:lvl w:ilvl="0" w:tplc="08090001">
      <w:start w:val="1"/>
      <w:numFmt w:val="bullet"/>
      <w:lvlText w:val=""/>
      <w:lvlJc w:val="left"/>
      <w:pPr>
        <w:ind w:left="754" w:hanging="360"/>
      </w:pPr>
      <w:rPr>
        <w:rFonts w:ascii="Arial" w:hAnsi="Arial" w:eastAsia="Arial" w:cs="Arial"/>
        <w:sz w:val="20"/>
        <w:szCs w:val="20"/>
      </w:rPr>
    </w:lvl>
    <w:lvl w:ilvl="1" w:tplc="08090003" w:tentative="1">
      <w:start w:val="1"/>
      <w:numFmt w:val="bullet"/>
      <w:lvlText w:val="o"/>
      <w:lvlJc w:val="left"/>
      <w:pPr>
        <w:ind w:left="1474" w:hanging="360"/>
      </w:pPr>
      <w:rPr>
        <w:rFonts w:ascii="Arial" w:hAnsi="Arial" w:eastAsia="Arial" w:cs="Arial"/>
        <w:sz w:val="20"/>
        <w:szCs w:val="20"/>
      </w:rPr>
    </w:lvl>
    <w:lvl w:ilvl="2" w:tplc="08090005" w:tentative="1">
      <w:start w:val="1"/>
      <w:numFmt w:val="bullet"/>
      <w:lvlText w:val=""/>
      <w:lvlJc w:val="left"/>
      <w:pPr>
        <w:ind w:left="2194" w:hanging="360"/>
      </w:pPr>
      <w:rPr>
        <w:rFonts w:ascii="Arial" w:hAnsi="Arial" w:eastAsia="Arial" w:cs="Arial"/>
        <w:sz w:val="20"/>
        <w:szCs w:val="20"/>
      </w:rPr>
    </w:lvl>
    <w:lvl w:ilvl="3" w:tplc="08090001" w:tentative="1">
      <w:start w:val="1"/>
      <w:numFmt w:val="bullet"/>
      <w:lvlText w:val=""/>
      <w:lvlJc w:val="left"/>
      <w:pPr>
        <w:ind w:left="2914" w:hanging="360"/>
      </w:pPr>
      <w:rPr>
        <w:rFonts w:ascii="Arial" w:hAnsi="Arial" w:eastAsia="Arial" w:cs="Arial"/>
        <w:sz w:val="20"/>
        <w:szCs w:val="20"/>
      </w:rPr>
    </w:lvl>
    <w:lvl w:ilvl="4" w:tplc="08090003" w:tentative="1">
      <w:start w:val="1"/>
      <w:numFmt w:val="bullet"/>
      <w:lvlText w:val="o"/>
      <w:lvlJc w:val="left"/>
      <w:pPr>
        <w:ind w:left="3634" w:hanging="360"/>
      </w:pPr>
      <w:rPr>
        <w:rFonts w:ascii="Arial" w:hAnsi="Arial" w:eastAsia="Arial" w:cs="Arial"/>
        <w:sz w:val="20"/>
        <w:szCs w:val="20"/>
      </w:rPr>
    </w:lvl>
    <w:lvl w:ilvl="5" w:tplc="08090005" w:tentative="1">
      <w:start w:val="1"/>
      <w:numFmt w:val="bullet"/>
      <w:lvlText w:val=""/>
      <w:lvlJc w:val="left"/>
      <w:pPr>
        <w:ind w:left="4354" w:hanging="360"/>
      </w:pPr>
      <w:rPr>
        <w:rFonts w:ascii="Arial" w:hAnsi="Arial" w:eastAsia="Arial" w:cs="Arial"/>
        <w:sz w:val="20"/>
        <w:szCs w:val="20"/>
      </w:rPr>
    </w:lvl>
    <w:lvl w:ilvl="6" w:tplc="08090001" w:tentative="1">
      <w:start w:val="1"/>
      <w:numFmt w:val="bullet"/>
      <w:lvlText w:val=""/>
      <w:lvlJc w:val="left"/>
      <w:pPr>
        <w:ind w:left="5074" w:hanging="360"/>
      </w:pPr>
      <w:rPr>
        <w:rFonts w:ascii="Arial" w:hAnsi="Arial" w:eastAsia="Arial" w:cs="Arial"/>
        <w:sz w:val="20"/>
        <w:szCs w:val="20"/>
      </w:rPr>
    </w:lvl>
    <w:lvl w:ilvl="7" w:tplc="08090003" w:tentative="1">
      <w:start w:val="1"/>
      <w:numFmt w:val="bullet"/>
      <w:lvlText w:val="o"/>
      <w:lvlJc w:val="left"/>
      <w:pPr>
        <w:ind w:left="5794" w:hanging="360"/>
      </w:pPr>
      <w:rPr>
        <w:rFonts w:ascii="Arial" w:hAnsi="Arial" w:eastAsia="Arial" w:cs="Arial"/>
        <w:sz w:val="20"/>
        <w:szCs w:val="20"/>
      </w:rPr>
    </w:lvl>
    <w:lvl w:ilvl="8" w:tplc="08090005" w:tentative="1">
      <w:start w:val="1"/>
      <w:numFmt w:val="bullet"/>
      <w:lvlText w:val=""/>
      <w:lvlJc w:val="left"/>
      <w:pPr>
        <w:ind w:left="6514" w:hanging="360"/>
      </w:pPr>
      <w:rPr>
        <w:rFonts w:ascii="Arial" w:hAnsi="Arial" w:eastAsia="Arial" w:cs="Arial"/>
        <w:sz w:val="20"/>
        <w:szCs w:val="20"/>
      </w:rPr>
    </w:lvl>
  </w:abstractNum>
  <w:abstractNum w:abstractNumId="10" w15:restartNumberingAfterBreak="0">
    <w:nsid w:val="048F160C"/>
    <w:multiLevelType w:val="hybridMultilevel"/>
    <w:tmpl w:val="25220372"/>
    <w:lvl w:ilvl="0" w:tplc="3FDADC84">
      <w:start w:val="1"/>
      <w:numFmt w:val="decimal"/>
      <w:lvlText w:val="%1."/>
      <w:lvlJc w:val="left"/>
      <w:pPr>
        <w:ind w:left="57" w:firstLine="0"/>
      </w:pPr>
      <w:rPr>
        <w:rFonts w:ascii="Arial" w:hAnsi="Arial" w:eastAsia="Arial" w:cs="Arial"/>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96930CD"/>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945C33"/>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3" w15:restartNumberingAfterBreak="0">
    <w:nsid w:val="280F06E9"/>
    <w:multiLevelType w:val="multilevel"/>
    <w:tmpl w:val="281C173E"/>
    <w:lvl w:ilvl="0">
      <w:start w:val="1"/>
      <w:numFmt w:val="bullet"/>
      <w:lvlText w:val=""/>
      <w:lvlJc w:val="left"/>
      <w:pPr>
        <w:tabs>
          <w:tab w:val="num" w:pos="720"/>
        </w:tabs>
        <w:ind w:left="720" w:hanging="360"/>
      </w:pPr>
      <w:rPr>
        <w:rFonts w:ascii="Arial" w:hAnsi="Arial" w:eastAsia="Arial" w:cs="Arial"/>
        <w:sz w:val="20"/>
        <w:szCs w:val="20"/>
      </w:rPr>
    </w:lvl>
    <w:lvl w:ilvl="1" w:tentative="1">
      <w:start w:val="1"/>
      <w:numFmt w:val="bullet"/>
      <w:lvlText w:val="o"/>
      <w:lvlJc w:val="left"/>
      <w:pPr>
        <w:tabs>
          <w:tab w:val="num" w:pos="1440"/>
        </w:tabs>
        <w:ind w:left="1440" w:hanging="360"/>
      </w:pPr>
      <w:rPr>
        <w:rFonts w:ascii="Arial" w:hAnsi="Arial" w:eastAsia="Arial" w:cs="Arial"/>
        <w:sz w:val="20"/>
        <w:szCs w:val="20"/>
      </w:rPr>
    </w:lvl>
    <w:lvl w:ilvl="2" w:tentative="1">
      <w:start w:val="1"/>
      <w:numFmt w:val="bullet"/>
      <w:lvlText w:val=""/>
      <w:lvlJc w:val="left"/>
      <w:pPr>
        <w:tabs>
          <w:tab w:val="num" w:pos="2160"/>
        </w:tabs>
        <w:ind w:left="2160" w:hanging="360"/>
      </w:pPr>
      <w:rPr>
        <w:rFonts w:ascii="Arial" w:hAnsi="Arial" w:eastAsia="Arial" w:cs="Arial"/>
        <w:sz w:val="20"/>
        <w:szCs w:val="20"/>
      </w:rPr>
    </w:lvl>
    <w:lvl w:ilvl="3" w:tentative="1">
      <w:start w:val="1"/>
      <w:numFmt w:val="bullet"/>
      <w:lvlText w:val=""/>
      <w:lvlJc w:val="left"/>
      <w:pPr>
        <w:tabs>
          <w:tab w:val="num" w:pos="2880"/>
        </w:tabs>
        <w:ind w:left="2880" w:hanging="360"/>
      </w:pPr>
      <w:rPr>
        <w:rFonts w:ascii="Arial" w:hAnsi="Arial" w:eastAsia="Arial" w:cs="Arial"/>
        <w:sz w:val="20"/>
        <w:szCs w:val="20"/>
      </w:rPr>
    </w:lvl>
    <w:lvl w:ilvl="4" w:tentative="1">
      <w:start w:val="1"/>
      <w:numFmt w:val="bullet"/>
      <w:lvlText w:val=""/>
      <w:lvlJc w:val="left"/>
      <w:pPr>
        <w:tabs>
          <w:tab w:val="num" w:pos="3600"/>
        </w:tabs>
        <w:ind w:left="3600" w:hanging="360"/>
      </w:pPr>
      <w:rPr>
        <w:rFonts w:ascii="Arial" w:hAnsi="Arial" w:eastAsia="Arial" w:cs="Arial"/>
        <w:sz w:val="20"/>
        <w:szCs w:val="20"/>
      </w:rPr>
    </w:lvl>
    <w:lvl w:ilvl="5" w:tentative="1">
      <w:start w:val="1"/>
      <w:numFmt w:val="bullet"/>
      <w:lvlText w:val=""/>
      <w:lvlJc w:val="left"/>
      <w:pPr>
        <w:tabs>
          <w:tab w:val="num" w:pos="4320"/>
        </w:tabs>
        <w:ind w:left="4320" w:hanging="360"/>
      </w:pPr>
      <w:rPr>
        <w:rFonts w:ascii="Arial" w:hAnsi="Arial" w:eastAsia="Arial" w:cs="Arial"/>
        <w:sz w:val="20"/>
        <w:szCs w:val="20"/>
      </w:rPr>
    </w:lvl>
    <w:lvl w:ilvl="6" w:tentative="1">
      <w:start w:val="1"/>
      <w:numFmt w:val="bullet"/>
      <w:lvlText w:val=""/>
      <w:lvlJc w:val="left"/>
      <w:pPr>
        <w:tabs>
          <w:tab w:val="num" w:pos="5040"/>
        </w:tabs>
        <w:ind w:left="5040" w:hanging="360"/>
      </w:pPr>
      <w:rPr>
        <w:rFonts w:ascii="Arial" w:hAnsi="Arial" w:eastAsia="Arial" w:cs="Arial"/>
        <w:sz w:val="20"/>
        <w:szCs w:val="20"/>
      </w:rPr>
    </w:lvl>
    <w:lvl w:ilvl="7" w:tentative="1">
      <w:start w:val="1"/>
      <w:numFmt w:val="bullet"/>
      <w:lvlText w:val=""/>
      <w:lvlJc w:val="left"/>
      <w:pPr>
        <w:tabs>
          <w:tab w:val="num" w:pos="5760"/>
        </w:tabs>
        <w:ind w:left="5760" w:hanging="360"/>
      </w:pPr>
      <w:rPr>
        <w:rFonts w:ascii="Arial" w:hAnsi="Arial" w:eastAsia="Arial" w:cs="Arial"/>
        <w:sz w:val="20"/>
        <w:szCs w:val="20"/>
      </w:rPr>
    </w:lvl>
    <w:lvl w:ilvl="8" w:tentative="1">
      <w:start w:val="1"/>
      <w:numFmt w:val="bullet"/>
      <w:lvlText w:val=""/>
      <w:lvlJc w:val="left"/>
      <w:pPr>
        <w:tabs>
          <w:tab w:val="num" w:pos="6480"/>
        </w:tabs>
        <w:ind w:left="6480" w:hanging="360"/>
      </w:pPr>
      <w:rPr>
        <w:rFonts w:ascii="Arial" w:hAnsi="Arial" w:eastAsia="Arial" w:cs="Arial"/>
        <w:sz w:val="20"/>
        <w:szCs w:val="20"/>
      </w:rPr>
    </w:lvl>
  </w:abstractNum>
  <w:abstractNum w:abstractNumId="14" w15:restartNumberingAfterBreak="0">
    <w:nsid w:val="356A6F86"/>
    <w:multiLevelType w:val="hybridMultilevel"/>
    <w:tmpl w:val="E71E10CC"/>
    <w:lvl w:ilvl="0" w:tplc="FC7E37D8">
      <w:start w:val="1"/>
      <w:numFmt w:val="decimal"/>
      <w:lvlText w:val="%1."/>
      <w:lvlJc w:val="left"/>
      <w:pPr>
        <w:ind w:left="153" w:hanging="79"/>
      </w:pPr>
      <w:rPr>
        <w:rFonts w:ascii="Arial" w:hAnsi="Arial" w:eastAsia="Arial" w:cs="Arial"/>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5B7872"/>
    <w:multiLevelType w:val="hybridMultilevel"/>
    <w:tmpl w:val="E07A5780"/>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6" w15:restartNumberingAfterBreak="0">
    <w:nsid w:val="3B921EBB"/>
    <w:multiLevelType w:val="hybridMultilevel"/>
    <w:tmpl w:val="328C950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7" w15:restartNumberingAfterBreak="0">
    <w:nsid w:val="4E7637AC"/>
    <w:multiLevelType w:val="multilevel"/>
    <w:tmpl w:val="379E2CDE"/>
    <w:lvl w:ilvl="0">
      <w:start w:val="1"/>
      <w:numFmt w:val="decimal"/>
      <w:lvlText w:val="%1."/>
      <w:lvlJc w:val="left"/>
      <w:pPr>
        <w:ind w:left="720" w:hanging="646"/>
      </w:pPr>
      <w:rPr>
        <w:rFonts w:ascii="Arial" w:hAnsi="Arial" w:eastAsia="Arial" w:cs="Arial"/>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4BA3E23"/>
    <w:multiLevelType w:val="hybridMultilevel"/>
    <w:tmpl w:val="2228CEB6"/>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19" w15:restartNumberingAfterBreak="0">
    <w:nsid w:val="5C5B4C04"/>
    <w:multiLevelType w:val="hybridMultilevel"/>
    <w:tmpl w:val="F396605E"/>
    <w:lvl w:ilvl="0" w:tplc="08090001">
      <w:start w:val="1"/>
      <w:numFmt w:val="bullet"/>
      <w:lvlText w:val=""/>
      <w:lvlJc w:val="left"/>
      <w:pPr>
        <w:ind w:left="720" w:hanging="360"/>
      </w:pPr>
      <w:rPr>
        <w:rFonts w:ascii="Arial" w:hAnsi="Arial" w:eastAsia="Arial" w:cs="Arial"/>
        <w:sz w:val="20"/>
        <w:szCs w:val="20"/>
      </w:rPr>
    </w:lvl>
    <w:lvl w:ilvl="1" w:tplc="08090003" w:tentative="1">
      <w:start w:val="1"/>
      <w:numFmt w:val="bullet"/>
      <w:lvlText w:val="o"/>
      <w:lvlJc w:val="left"/>
      <w:pPr>
        <w:ind w:left="1440" w:hanging="360"/>
      </w:pPr>
      <w:rPr>
        <w:rFonts w:ascii="Arial" w:hAnsi="Arial" w:eastAsia="Arial" w:cs="Arial"/>
        <w:sz w:val="20"/>
        <w:szCs w:val="20"/>
      </w:rPr>
    </w:lvl>
    <w:lvl w:ilvl="2" w:tplc="08090005" w:tentative="1">
      <w:start w:val="1"/>
      <w:numFmt w:val="bullet"/>
      <w:lvlText w:val=""/>
      <w:lvlJc w:val="left"/>
      <w:pPr>
        <w:ind w:left="2160" w:hanging="360"/>
      </w:pPr>
      <w:rPr>
        <w:rFonts w:ascii="Arial" w:hAnsi="Arial" w:eastAsia="Arial" w:cs="Arial"/>
        <w:sz w:val="20"/>
        <w:szCs w:val="20"/>
      </w:rPr>
    </w:lvl>
    <w:lvl w:ilvl="3" w:tplc="08090001" w:tentative="1">
      <w:start w:val="1"/>
      <w:numFmt w:val="bullet"/>
      <w:lvlText w:val=""/>
      <w:lvlJc w:val="left"/>
      <w:pPr>
        <w:ind w:left="2880" w:hanging="360"/>
      </w:pPr>
      <w:rPr>
        <w:rFonts w:ascii="Arial" w:hAnsi="Arial" w:eastAsia="Arial" w:cs="Arial"/>
        <w:sz w:val="20"/>
        <w:szCs w:val="20"/>
      </w:rPr>
    </w:lvl>
    <w:lvl w:ilvl="4" w:tplc="08090003" w:tentative="1">
      <w:start w:val="1"/>
      <w:numFmt w:val="bullet"/>
      <w:lvlText w:val="o"/>
      <w:lvlJc w:val="left"/>
      <w:pPr>
        <w:ind w:left="3600" w:hanging="360"/>
      </w:pPr>
      <w:rPr>
        <w:rFonts w:ascii="Arial" w:hAnsi="Arial" w:eastAsia="Arial" w:cs="Arial"/>
        <w:sz w:val="20"/>
        <w:szCs w:val="20"/>
      </w:rPr>
    </w:lvl>
    <w:lvl w:ilvl="5" w:tplc="08090005" w:tentative="1">
      <w:start w:val="1"/>
      <w:numFmt w:val="bullet"/>
      <w:lvlText w:val=""/>
      <w:lvlJc w:val="left"/>
      <w:pPr>
        <w:ind w:left="4320" w:hanging="360"/>
      </w:pPr>
      <w:rPr>
        <w:rFonts w:ascii="Arial" w:hAnsi="Arial" w:eastAsia="Arial" w:cs="Arial"/>
        <w:sz w:val="20"/>
        <w:szCs w:val="20"/>
      </w:rPr>
    </w:lvl>
    <w:lvl w:ilvl="6" w:tplc="08090001" w:tentative="1">
      <w:start w:val="1"/>
      <w:numFmt w:val="bullet"/>
      <w:lvlText w:val=""/>
      <w:lvlJc w:val="left"/>
      <w:pPr>
        <w:ind w:left="5040" w:hanging="360"/>
      </w:pPr>
      <w:rPr>
        <w:rFonts w:ascii="Arial" w:hAnsi="Arial" w:eastAsia="Arial" w:cs="Arial"/>
        <w:sz w:val="20"/>
        <w:szCs w:val="20"/>
      </w:rPr>
    </w:lvl>
    <w:lvl w:ilvl="7" w:tplc="08090003" w:tentative="1">
      <w:start w:val="1"/>
      <w:numFmt w:val="bullet"/>
      <w:lvlText w:val="o"/>
      <w:lvlJc w:val="left"/>
      <w:pPr>
        <w:ind w:left="5760" w:hanging="360"/>
      </w:pPr>
      <w:rPr>
        <w:rFonts w:ascii="Arial" w:hAnsi="Arial" w:eastAsia="Arial" w:cs="Arial"/>
        <w:sz w:val="20"/>
        <w:szCs w:val="20"/>
      </w:rPr>
    </w:lvl>
    <w:lvl w:ilvl="8" w:tplc="08090005" w:tentative="1">
      <w:start w:val="1"/>
      <w:numFmt w:val="bullet"/>
      <w:lvlText w:val=""/>
      <w:lvlJc w:val="left"/>
      <w:pPr>
        <w:ind w:left="6480" w:hanging="360"/>
      </w:pPr>
      <w:rPr>
        <w:rFonts w:ascii="Arial" w:hAnsi="Arial" w:eastAsia="Arial" w:cs="Arial"/>
        <w:sz w:val="20"/>
        <w:szCs w:val="20"/>
      </w:rPr>
    </w:lvl>
  </w:abstractNum>
  <w:abstractNum w:abstractNumId="20" w15:restartNumberingAfterBreak="0">
    <w:nsid w:val="5D5A0A47"/>
    <w:multiLevelType w:val="hybridMultilevel"/>
    <w:tmpl w:val="47BA1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59154593">
    <w:abstractNumId w:val="8"/>
  </w:num>
  <w:num w:numId="2" w16cid:durableId="514196822">
    <w:abstractNumId w:val="6"/>
  </w:num>
  <w:num w:numId="3" w16cid:durableId="585722606">
    <w:abstractNumId w:val="5"/>
  </w:num>
  <w:num w:numId="4" w16cid:durableId="1316297286">
    <w:abstractNumId w:val="4"/>
  </w:num>
  <w:num w:numId="5" w16cid:durableId="70467570">
    <w:abstractNumId w:val="7"/>
  </w:num>
  <w:num w:numId="6" w16cid:durableId="1280601992">
    <w:abstractNumId w:val="3"/>
  </w:num>
  <w:num w:numId="7" w16cid:durableId="198469434">
    <w:abstractNumId w:val="2"/>
  </w:num>
  <w:num w:numId="8" w16cid:durableId="635068732">
    <w:abstractNumId w:val="1"/>
  </w:num>
  <w:num w:numId="9" w16cid:durableId="53358993">
    <w:abstractNumId w:val="0"/>
  </w:num>
  <w:num w:numId="10" w16cid:durableId="48576207">
    <w:abstractNumId w:val="20"/>
  </w:num>
  <w:num w:numId="11" w16cid:durableId="776099713">
    <w:abstractNumId w:val="12"/>
  </w:num>
  <w:num w:numId="12" w16cid:durableId="409624786">
    <w:abstractNumId w:val="13"/>
  </w:num>
  <w:num w:numId="13" w16cid:durableId="978264250">
    <w:abstractNumId w:val="14"/>
  </w:num>
  <w:num w:numId="14" w16cid:durableId="1306007237">
    <w:abstractNumId w:val="17"/>
  </w:num>
  <w:num w:numId="15" w16cid:durableId="1821650077">
    <w:abstractNumId w:val="16"/>
  </w:num>
  <w:num w:numId="16" w16cid:durableId="922836351">
    <w:abstractNumId w:val="10"/>
  </w:num>
  <w:num w:numId="17" w16cid:durableId="988632940">
    <w:abstractNumId w:val="18"/>
  </w:num>
  <w:num w:numId="18" w16cid:durableId="785008537">
    <w:abstractNumId w:val="9"/>
  </w:num>
  <w:num w:numId="19" w16cid:durableId="1844469305">
    <w:abstractNumId w:val="11"/>
  </w:num>
  <w:num w:numId="20" w16cid:durableId="1828594134">
    <w:abstractNumId w:val="15"/>
  </w:num>
  <w:num w:numId="21" w16cid:durableId="1430158343">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C17"/>
    <w:rsid w:val="0015074B"/>
    <w:rsid w:val="0020464B"/>
    <w:rsid w:val="002601F3"/>
    <w:rsid w:val="00274B8B"/>
    <w:rsid w:val="0029639D"/>
    <w:rsid w:val="00326F90"/>
    <w:rsid w:val="00373D14"/>
    <w:rsid w:val="00374014"/>
    <w:rsid w:val="00484777"/>
    <w:rsid w:val="00552855"/>
    <w:rsid w:val="00594976"/>
    <w:rsid w:val="006B60C5"/>
    <w:rsid w:val="006F54F2"/>
    <w:rsid w:val="00705FB2"/>
    <w:rsid w:val="0082754C"/>
    <w:rsid w:val="00860303"/>
    <w:rsid w:val="00885E26"/>
    <w:rsid w:val="008B6C93"/>
    <w:rsid w:val="008F64FC"/>
    <w:rsid w:val="00932CEC"/>
    <w:rsid w:val="009D0658"/>
    <w:rsid w:val="00AA1D8D"/>
    <w:rsid w:val="00B31F24"/>
    <w:rsid w:val="00B47730"/>
    <w:rsid w:val="00BA2940"/>
    <w:rsid w:val="00C21F76"/>
    <w:rsid w:val="00C65B51"/>
    <w:rsid w:val="00CB0664"/>
    <w:rsid w:val="00DF45C1"/>
    <w:rsid w:val="00FC693F"/>
    <w:rsid w:val="00FF09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320C0C"/>
  <w14:defaultImageDpi w14:val="300"/>
  <w15:docId w15:val="{19112497-0207-0540-8254-ECD939F72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0"/>
        <w:szCs w:val="20"/>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Arial" w:hAnsi="Arial" w:eastAsia="Arial" w:cs="Arial"/>
      <w:color w:val="000000"/>
      <w:lang w:val="en-GB"/>
      <w:sz w:val="20"/>
      <w:szCs w:val="20"/>
    </w:rPr>
  </w:style>
  <w:style w:type="paragraph" w:styleId="Heading1">
    <w:name w:val="heading 1"/>
    <w:basedOn w:val="Normal"/>
    <w:next w:val="Normal"/>
    <w:link w:val="Heading1Char"/>
    <w:uiPriority w:val="9"/>
    <w:qFormat/>
    <w:rsid w:val="00FC693F"/>
    <w:pPr>
      <w:keepNext/>
      <w:keepLines/>
      <w:spacing w:before="200"/>
      <w:outlineLvl w:val="0"/>
    </w:pPr>
    <w:rPr>
      <w:rFonts w:ascii="Arial" w:hAnsi="Arial" w:eastAsia="Arial" w:cs="Arial"/>
      <w:b/>
      <w:bCs/>
      <w:sz w:val="20"/>
      <w:szCs w:val="20"/>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Arial" w:hAnsi="Arial" w:eastAsia="Arial" w:cs="Arial"/>
      <w:b/>
      <w:bCs/>
      <w:sz w:val="20"/>
      <w:szCs w:val="20"/>
    </w:rPr>
  </w:style>
  <w:style w:type="paragraph" w:styleId="Heading3">
    <w:name w:val="heading 3"/>
    <w:basedOn w:val="Normal"/>
    <w:next w:val="Normal"/>
    <w:link w:val="Heading3Char"/>
    <w:uiPriority w:val="9"/>
    <w:unhideWhenUsed/>
    <w:qFormat/>
    <w:rsid w:val="00FC693F"/>
    <w:pPr>
      <w:keepNext/>
      <w:keepLines/>
      <w:spacing w:before="120" w:after="80"/>
      <w:outlineLvl w:val="2"/>
    </w:pPr>
    <w:rPr>
      <w:rFonts w:ascii="Arial" w:hAnsi="Arial" w:eastAsia="Arial" w:cs="Arial"/>
      <w:b/>
      <w:bCs/>
      <w:sz w:val="20"/>
      <w:szCs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sz w:val="20"/>
      <w:szCs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sz w:val="20"/>
      <w:szCs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sz w:val="20"/>
      <w:szCs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sz w:val="20"/>
      <w:szCs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rPr>
      <w:rFonts w:ascii="Arial" w:hAnsi="Arial" w:eastAsia="Arial" w:cs="Arial"/>
      <w:sz w:val="20"/>
      <w:szCs w:val="20"/>
    </w:rPr>
    <w:name w:val="Default Paragraph Font"/>
    <w:uiPriority w:val="1"/>
    <w:semiHidden/>
    <w:unhideWhenUsed/>
  </w:style>
  <w:style w:type="table" w:default="1" w:styleId="TableNormal">
    <w:rPr>
      <w:rFonts w:ascii="Arial" w:hAnsi="Arial" w:eastAsia="Arial" w:cs="Arial"/>
      <w:sz w:val="20"/>
      <w:szCs w:val="20"/>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0"/>
      <w:szCs w:val="20"/>
    </w:rPr>
    <w:name w:val="No List"/>
    <w:uiPriority w:val="99"/>
    <w:semiHidden/>
    <w:unhideWhenUsed/>
  </w:style>
  <w:style w:type="paragraph" w:styleId="Header">
    <w:rPr>
      <w:rFonts w:ascii="Arial" w:hAnsi="Arial" w:eastAsia="Arial" w:cs="Arial"/>
      <w:sz w:val="20"/>
      <w:szCs w:val="20"/>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0"/>
      <w:szCs w:val="20"/>
    </w:rPr>
    <w:name w:val="Header Char"/>
    <w:basedOn w:val="DefaultParagraphFont"/>
    <w:link w:val="Header"/>
    <w:uiPriority w:val="99"/>
    <w:rsid w:val="00E618BF"/>
  </w:style>
  <w:style w:type="paragraph" w:styleId="Footer">
    <w:rPr>
      <w:rFonts w:ascii="Arial" w:hAnsi="Arial" w:eastAsia="Arial" w:cs="Arial"/>
      <w:sz w:val="20"/>
      <w:szCs w:val="20"/>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0"/>
      <w:szCs w:val="20"/>
    </w:rPr>
    <w:name w:val="Footer Char"/>
    <w:basedOn w:val="DefaultParagraphFont"/>
    <w:link w:val="Footer"/>
    <w:uiPriority w:val="99"/>
    <w:rsid w:val="00E618BF"/>
  </w:style>
  <w:style w:type="paragraph" w:styleId="NoSpacing">
    <w:rPr>
      <w:rFonts w:ascii="Arial" w:hAnsi="Arial" w:eastAsia="Arial" w:cs="Arial"/>
      <w:sz w:val="20"/>
      <w:szCs w:val="20"/>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0"/>
      <w:szCs w:val="20"/>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0"/>
      <w:szCs w:val="20"/>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sz w:val="20"/>
      <w:szCs w:val="20"/>
    </w:rPr>
  </w:style>
  <w:style w:type="paragraph" w:styleId="Title">
    <w:name w:val="Title"/>
    <w:basedOn w:val="Normal"/>
    <w:next w:val="Normal"/>
    <w:link w:val="TitleChar"/>
    <w:uiPriority w:val="10"/>
    <w:qFormat/>
    <w:rsid w:val="00FC693F"/>
    <w:pPr>
      <w:keepNext/>
      <w:spacing w:after="200" w:line="240" w:lineRule="auto"/>
      <w:contextualSpacing/>
    </w:pPr>
    <w:rPr>
      <w:rFonts w:ascii="Arial" w:hAnsi="Arial" w:eastAsia="Arial" w:cs="Arial"/>
      <w:b/>
      <w:spacing w:val="5"/>
      <w:kern w:val="28"/>
      <w:sz w:val="20"/>
      <w:szCs w:val="20"/>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20"/>
      <w:szCs w:val="20"/>
    </w:rPr>
  </w:style>
  <w:style w:type="paragraph" w:styleId="Subtitle">
    <w:name w:val="Subtitle"/>
    <w:basedOn w:val="Normal"/>
    <w:next w:val="Normal"/>
    <w:link w:val="SubtitleChar"/>
    <w:uiPriority w:val="11"/>
    <w:qFormat/>
    <w:rsid w:val="00FC693F"/>
    <w:pPr>
      <w:keepNext/>
      <w:numPr>
        <w:ilvl w:val="1"/>
      </w:numPr>
      <w:spacing w:after="160"/>
    </w:pPr>
    <w:rPr>
      <w:rFonts w:ascii="Arial" w:hAnsi="Arial" w:eastAsia="Arial" w:cs="Arial"/>
      <w:i/>
      <w:iCs/>
      <w:spacing w:val="15"/>
      <w:sz w:val="20"/>
      <w:szCs w:val="20"/>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0"/>
      <w:szCs w:val="20"/>
    </w:rPr>
  </w:style>
  <w:style w:type="paragraph" w:styleId="ListParagraph">
    <w:rPr>
      <w:rFonts w:ascii="Arial" w:hAnsi="Arial" w:eastAsia="Arial" w:cs="Arial"/>
      <w:sz w:val="20"/>
      <w:szCs w:val="20"/>
    </w:rPr>
    <w:name w:val="List Paragraph"/>
    <w:basedOn w:val="Normal"/>
    <w:uiPriority w:val="34"/>
    <w:qFormat/>
    <w:rsid w:val="00FC693F"/>
    <w:pPr>
      <w:ind w:left="720"/>
      <w:contextualSpacing/>
    </w:pPr>
  </w:style>
  <w:style w:type="paragraph" w:styleId="BodyText">
    <w:rPr>
      <w:rFonts w:ascii="Arial" w:hAnsi="Arial" w:eastAsia="Arial" w:cs="Arial"/>
      <w:sz w:val="20"/>
      <w:szCs w:val="20"/>
    </w:rPr>
    <w:name w:val="Body Text"/>
    <w:basedOn w:val="Normal"/>
    <w:link w:val="BodyTextChar"/>
    <w:uiPriority w:val="99"/>
    <w:unhideWhenUsed/>
    <w:rsid w:val="00AA1D8D"/>
  </w:style>
  <w:style w:type="character" w:customStyle="1" w:styleId="BodyTextChar">
    <w:rPr>
      <w:rFonts w:ascii="Arial" w:hAnsi="Arial" w:eastAsia="Arial" w:cs="Arial"/>
      <w:sz w:val="20"/>
      <w:szCs w:val="20"/>
    </w:rPr>
    <w:name w:val="Body Text Char"/>
    <w:basedOn w:val="DefaultParagraphFont"/>
    <w:link w:val="BodyText"/>
    <w:uiPriority w:val="99"/>
    <w:rsid w:val="00AA1D8D"/>
  </w:style>
  <w:style w:type="paragraph" w:styleId="BodyText2">
    <w:rPr>
      <w:rFonts w:ascii="Arial" w:hAnsi="Arial" w:eastAsia="Arial" w:cs="Arial"/>
      <w:sz w:val="20"/>
      <w:szCs w:val="20"/>
    </w:rPr>
    <w:name w:val="Body Text 2"/>
    <w:basedOn w:val="Normal"/>
    <w:link w:val="BodyText2Char"/>
    <w:uiPriority w:val="99"/>
    <w:unhideWhenUsed/>
    <w:rsid w:val="00AA1D8D"/>
    <w:pPr>
      <w:spacing w:line="480" w:lineRule="auto"/>
    </w:pPr>
  </w:style>
  <w:style w:type="character" w:customStyle="1" w:styleId="BodyText2Char">
    <w:rPr>
      <w:rFonts w:ascii="Arial" w:hAnsi="Arial" w:eastAsia="Arial" w:cs="Arial"/>
      <w:sz w:val="20"/>
      <w:szCs w:val="20"/>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20"/>
      <w:szCs w:val="20"/>
      <w:rFonts w:ascii="Arial" w:hAnsi="Arial" w:eastAsia="Arial" w:cs="Arial"/>
    </w:rPr>
  </w:style>
  <w:style w:type="character" w:customStyle="1" w:styleId="BodyText3Char">
    <w:name w:val="Body Text 3 Char"/>
    <w:basedOn w:val="DefaultParagraphFont"/>
    <w:link w:val="BodyText3"/>
    <w:uiPriority w:val="99"/>
    <w:rsid w:val="00AA1D8D"/>
    <w:rPr>
      <w:sz w:val="20"/>
      <w:szCs w:val="20"/>
      <w:rFonts w:ascii="Arial" w:hAnsi="Arial" w:eastAsia="Arial" w:cs="Arial"/>
    </w:rPr>
  </w:style>
  <w:style w:type="paragraph" w:styleId="List">
    <w:rPr>
      <w:rFonts w:ascii="Arial" w:hAnsi="Arial" w:eastAsia="Arial" w:cs="Arial"/>
      <w:sz w:val="20"/>
      <w:szCs w:val="20"/>
    </w:rPr>
    <w:name w:val="List"/>
    <w:basedOn w:val="Normal"/>
    <w:uiPriority w:val="99"/>
    <w:unhideWhenUsed/>
    <w:rsid w:val="00AA1D8D"/>
    <w:pPr>
      <w:ind w:left="360" w:hanging="360"/>
      <w:contextualSpacing/>
    </w:pPr>
  </w:style>
  <w:style w:type="paragraph" w:styleId="List2">
    <w:rPr>
      <w:rFonts w:ascii="Arial" w:hAnsi="Arial" w:eastAsia="Arial" w:cs="Arial"/>
      <w:sz w:val="20"/>
      <w:szCs w:val="20"/>
    </w:rPr>
    <w:name w:val="List 2"/>
    <w:basedOn w:val="Normal"/>
    <w:uiPriority w:val="99"/>
    <w:unhideWhenUsed/>
    <w:rsid w:val="00326F90"/>
    <w:pPr>
      <w:ind w:left="720" w:hanging="360"/>
      <w:contextualSpacing/>
    </w:pPr>
  </w:style>
  <w:style w:type="paragraph" w:styleId="List3">
    <w:rPr>
      <w:rFonts w:ascii="Arial" w:hAnsi="Arial" w:eastAsia="Arial" w:cs="Arial"/>
      <w:sz w:val="20"/>
      <w:szCs w:val="20"/>
    </w:rPr>
    <w:name w:val="List 3"/>
    <w:basedOn w:val="Normal"/>
    <w:uiPriority w:val="99"/>
    <w:unhideWhenUsed/>
    <w:rsid w:val="00326F90"/>
    <w:pPr>
      <w:ind w:left="1080" w:hanging="360"/>
      <w:contextualSpacing/>
    </w:pPr>
  </w:style>
  <w:style w:type="paragraph" w:styleId="ListBullet">
    <w:rPr>
      <w:rFonts w:ascii="Arial" w:hAnsi="Arial" w:eastAsia="Arial" w:cs="Arial"/>
      <w:sz w:val="20"/>
      <w:szCs w:val="20"/>
    </w:rPr>
    <w:name w:val="List Bullet"/>
    <w:basedOn w:val="Normal"/>
    <w:uiPriority w:val="99"/>
    <w:unhideWhenUsed/>
    <w:rsid w:val="00326F90"/>
    <w:pPr>
      <w:numPr>
        <w:numId w:val="1"/>
      </w:numPr>
      <w:contextualSpacing/>
    </w:pPr>
  </w:style>
  <w:style w:type="paragraph" w:styleId="ListBullet2">
    <w:rPr>
      <w:rFonts w:ascii="Arial" w:hAnsi="Arial" w:eastAsia="Arial" w:cs="Arial"/>
      <w:sz w:val="20"/>
      <w:szCs w:val="20"/>
    </w:rPr>
    <w:name w:val="List Bullet 2"/>
    <w:basedOn w:val="Normal"/>
    <w:uiPriority w:val="99"/>
    <w:unhideWhenUsed/>
    <w:rsid w:val="00326F90"/>
    <w:pPr>
      <w:numPr>
        <w:numId w:val="2"/>
      </w:numPr>
      <w:contextualSpacing/>
    </w:pPr>
  </w:style>
  <w:style w:type="paragraph" w:styleId="ListBullet3">
    <w:rPr>
      <w:rFonts w:ascii="Arial" w:hAnsi="Arial" w:eastAsia="Arial" w:cs="Arial"/>
      <w:sz w:val="20"/>
      <w:szCs w:val="20"/>
    </w:rPr>
    <w:name w:val="List Bullet 3"/>
    <w:basedOn w:val="Normal"/>
    <w:uiPriority w:val="99"/>
    <w:unhideWhenUsed/>
    <w:rsid w:val="00326F90"/>
    <w:pPr>
      <w:numPr>
        <w:numId w:val="3"/>
      </w:numPr>
      <w:contextualSpacing/>
    </w:pPr>
  </w:style>
  <w:style w:type="paragraph" w:styleId="ListNumber">
    <w:rPr>
      <w:rFonts w:ascii="Arial" w:hAnsi="Arial" w:eastAsia="Arial" w:cs="Arial"/>
      <w:sz w:val="20"/>
      <w:szCs w:val="20"/>
    </w:rPr>
    <w:name w:val="List Number"/>
    <w:basedOn w:val="Normal"/>
    <w:uiPriority w:val="99"/>
    <w:unhideWhenUsed/>
    <w:rsid w:val="00326F90"/>
    <w:pPr>
      <w:numPr>
        <w:numId w:val="5"/>
      </w:numPr>
      <w:contextualSpacing/>
    </w:pPr>
  </w:style>
  <w:style w:type="paragraph" w:styleId="ListNumber2">
    <w:rPr>
      <w:rFonts w:ascii="Arial" w:hAnsi="Arial" w:eastAsia="Arial" w:cs="Arial"/>
      <w:sz w:val="20"/>
      <w:szCs w:val="20"/>
    </w:rPr>
    <w:name w:val="List Number 2"/>
    <w:basedOn w:val="Normal"/>
    <w:uiPriority w:val="99"/>
    <w:unhideWhenUsed/>
    <w:rsid w:val="0029639D"/>
    <w:pPr>
      <w:numPr>
        <w:numId w:val="6"/>
      </w:numPr>
      <w:contextualSpacing/>
    </w:pPr>
  </w:style>
  <w:style w:type="paragraph" w:styleId="ListNumber3">
    <w:rPr>
      <w:rFonts w:ascii="Arial" w:hAnsi="Arial" w:eastAsia="Arial" w:cs="Arial"/>
      <w:sz w:val="20"/>
      <w:szCs w:val="20"/>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0"/>
      <w:szCs w:val="20"/>
    </w:rPr>
    <w:name w:val="List Continue"/>
    <w:basedOn w:val="Normal"/>
    <w:uiPriority w:val="99"/>
    <w:unhideWhenUsed/>
    <w:rsid w:val="0029639D"/>
    <w:pPr>
      <w:ind w:left="360"/>
      <w:contextualSpacing/>
    </w:pPr>
  </w:style>
  <w:style w:type="paragraph" w:styleId="ListContinue2">
    <w:rPr>
      <w:rFonts w:ascii="Arial" w:hAnsi="Arial" w:eastAsia="Arial" w:cs="Arial"/>
      <w:sz w:val="20"/>
      <w:szCs w:val="20"/>
    </w:rPr>
    <w:name w:val="List Continue 2"/>
    <w:basedOn w:val="Normal"/>
    <w:uiPriority w:val="99"/>
    <w:unhideWhenUsed/>
    <w:rsid w:val="0029639D"/>
    <w:pPr>
      <w:ind w:left="720"/>
      <w:contextualSpacing/>
    </w:pPr>
  </w:style>
  <w:style w:type="paragraph" w:styleId="ListContinue3">
    <w:rPr>
      <w:rFonts w:ascii="Arial" w:hAnsi="Arial" w:eastAsia="Arial" w:cs="Arial"/>
      <w:sz w:val="20"/>
      <w:szCs w:val="20"/>
    </w:rPr>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0"/>
      <w:szCs w:val="20"/>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0"/>
      <w:szCs w:val="2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sz w:val="20"/>
      <w:szCs w:val="20"/>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sz w:val="20"/>
      <w:szCs w:val="20"/>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sz w:val="20"/>
      <w:szCs w:val="20"/>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sz w:val="20"/>
      <w:szCs w:val="20"/>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20"/>
      <w:szCs w:val="20"/>
      <w:rFonts w:ascii="Arial" w:hAnsi="Arial" w:eastAsia="Arial" w:cs="Arial"/>
    </w:rPr>
  </w:style>
  <w:style w:type="character" w:styleId="Strong">
    <w:name w:val="Strong"/>
    <w:basedOn w:val="DefaultParagraphFont"/>
    <w:uiPriority w:val="22"/>
    <w:qFormat/>
    <w:rsid w:val="00FC693F"/>
    <w:rPr>
      <w:b/>
      <w:bCs/>
      <w:rFonts w:ascii="Arial" w:hAnsi="Arial" w:eastAsia="Arial" w:cs="Arial"/>
      <w:sz w:val="20"/>
      <w:szCs w:val="20"/>
    </w:rPr>
  </w:style>
  <w:style w:type="character" w:styleId="Emphasis">
    <w:name w:val="Emphasis"/>
    <w:basedOn w:val="DefaultParagraphFont"/>
    <w:uiPriority w:val="20"/>
    <w:qFormat/>
    <w:rsid w:val="00FC693F"/>
    <w:rPr>
      <w:i/>
      <w:iCs/>
      <w:rFonts w:ascii="Arial" w:hAnsi="Arial" w:eastAsia="Arial" w:cs="Arial"/>
      <w:sz w:val="20"/>
      <w:szCs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0"/>
      <w:szCs w:val="20"/>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0"/>
      <w:szCs w:val="20"/>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0"/>
      <w:szCs w:val="20"/>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0"/>
      <w:szCs w:val="20"/>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0"/>
      <w:szCs w:val="20"/>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0"/>
      <w:szCs w:val="20"/>
    </w:rPr>
  </w:style>
  <w:style w:type="character" w:styleId="BookTitle">
    <w:name w:val="Book Title"/>
    <w:basedOn w:val="DefaultParagraphFont"/>
    <w:uiPriority w:val="33"/>
    <w:qFormat/>
    <w:rsid w:val="00FC693F"/>
    <w:rPr>
      <w:b/>
      <w:bCs/>
      <w:smallCaps/>
      <w:spacing w:val="5"/>
      <w:rFonts w:ascii="Arial" w:hAnsi="Arial" w:eastAsia="Arial" w:cs="Arial"/>
      <w:sz w:val="20"/>
      <w:szCs w:val="20"/>
    </w:rPr>
  </w:style>
  <w:style w:type="paragraph" w:styleId="TOCHeading">
    <w:rPr>
      <w:rFonts w:ascii="Arial" w:hAnsi="Arial" w:eastAsia="Arial" w:cs="Arial"/>
      <w:sz w:val="20"/>
      <w:szCs w:val="20"/>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0"/>
      <w:szCs w:val="20"/>
    </w:rPr>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Fonts w:ascii="Arial" w:hAnsi="Arial" w:eastAsia="Arial" w:cs="Arial"/>
        <w:sz w:val="20"/>
        <w:szCs w:val="20"/>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0"/>
      <w:szCs w:val="20"/>
    </w:rPr>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0"/>
      <w:szCs w:val="20"/>
    </w:rPr>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0"/>
      <w:szCs w:val="20"/>
    </w:rPr>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0"/>
      <w:szCs w:val="20"/>
    </w:rPr>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0"/>
      <w:szCs w:val="20"/>
    </w:rPr>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0"/>
      <w:szCs w:val="20"/>
    </w:rPr>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0"/>
      <w:szCs w:val="20"/>
    </w:rPr>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Fonts w:ascii="Arial" w:hAnsi="Arial" w:eastAsia="Arial" w:cs="Arial"/>
        <w:sz w:val="20"/>
        <w:szCs w:val="20"/>
      </w:rPr>
      <w:tblPr/>
      <w:tcPr>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0"/>
      <w:szCs w:val="20"/>
    </w:rPr>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hAnsi="Arial" w:eastAsia="Arial" w:cs="Arial"/>
        <w:b/>
        <w:bCs/>
        <w:sz w:val="20"/>
        <w:szCs w:val="20"/>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sz w:val="20"/>
        <w:szCs w:val="20"/>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0"/>
      <w:szCs w:val="20"/>
    </w:rPr>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hAnsi="Arial" w:eastAsia="Arial" w:cs="Arial"/>
        <w:b/>
        <w:bCs/>
        <w:sz w:val="20"/>
        <w:szCs w:val="20"/>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sz w:val="20"/>
        <w:szCs w:val="20"/>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0"/>
      <w:szCs w:val="20"/>
    </w:rPr>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hAnsi="Arial" w:eastAsia="Arial" w:cs="Arial"/>
        <w:b/>
        <w:bCs/>
        <w:sz w:val="20"/>
        <w:szCs w:val="20"/>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sz w:val="20"/>
        <w:szCs w:val="20"/>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0"/>
      <w:szCs w:val="20"/>
    </w:rPr>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hAnsi="Arial" w:eastAsia="Arial" w:cs="Arial"/>
        <w:b/>
        <w:bCs/>
        <w:sz w:val="20"/>
        <w:szCs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sz w:val="20"/>
        <w:szCs w:val="20"/>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0"/>
      <w:szCs w:val="20"/>
    </w:rPr>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hAnsi="Arial" w:eastAsia="Arial" w:cs="Arial"/>
        <w:b/>
        <w:bCs/>
        <w:sz w:val="20"/>
        <w:szCs w:val="20"/>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sz w:val="20"/>
        <w:szCs w:val="20"/>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0"/>
      <w:szCs w:val="20"/>
    </w:rPr>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hAnsi="Arial" w:eastAsia="Arial" w:cs="Arial"/>
        <w:b/>
        <w:bCs/>
        <w:sz w:val="20"/>
        <w:szCs w:val="20"/>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sz w:val="20"/>
        <w:szCs w:val="20"/>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0"/>
      <w:szCs w:val="20"/>
    </w:rPr>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hAnsi="Arial" w:eastAsia="Arial" w:cs="Arial"/>
        <w:b/>
        <w:bCs/>
        <w:sz w:val="20"/>
        <w:szCs w:val="20"/>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sz w:val="20"/>
        <w:szCs w:val="20"/>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sz w:val="20"/>
        <w:szCs w:val="20"/>
      </w:rPr>
    </w:tblStylePr>
    <w:tblStylePr w:type="lastCol">
      <w:rPr>
        <w:rFonts w:ascii="Arial" w:hAnsi="Arial" w:eastAsia="Arial" w:cs="Arial"/>
        <w:b/>
        <w:bCs/>
        <w:sz w:val="20"/>
        <w:szCs w:val="20"/>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0"/>
      <w:szCs w:val="20"/>
    </w:rPr>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Fonts w:ascii="Arial" w:hAnsi="Arial" w:eastAsia="Arial" w:cs="Arial"/>
        <w:sz w:val="20"/>
        <w:szCs w:val="20"/>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0"/>
      <w:szCs w:val="20"/>
    </w:rPr>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Fonts w:ascii="Arial" w:hAnsi="Arial" w:eastAsia="Arial" w:cs="Arial"/>
        <w:sz w:val="20"/>
        <w:szCs w:val="20"/>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0"/>
      <w:szCs w:val="20"/>
    </w:rPr>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Fonts w:ascii="Arial" w:hAnsi="Arial" w:eastAsia="Arial" w:cs="Arial"/>
        <w:sz w:val="20"/>
        <w:szCs w:val="20"/>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0"/>
      <w:szCs w:val="20"/>
    </w:rPr>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Fonts w:ascii="Arial" w:hAnsi="Arial" w:eastAsia="Arial" w:cs="Arial"/>
        <w:sz w:val="20"/>
        <w:szCs w:val="20"/>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0"/>
      <w:szCs w:val="20"/>
    </w:rPr>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Fonts w:ascii="Arial" w:hAnsi="Arial" w:eastAsia="Arial" w:cs="Arial"/>
        <w:sz w:val="20"/>
        <w:szCs w:val="20"/>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0"/>
      <w:szCs w:val="20"/>
    </w:rPr>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Fonts w:ascii="Arial" w:hAnsi="Arial" w:eastAsia="Arial" w:cs="Arial"/>
        <w:sz w:val="20"/>
        <w:szCs w:val="20"/>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0"/>
      <w:szCs w:val="20"/>
    </w:rPr>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Fonts w:ascii="Arial" w:hAnsi="Arial" w:eastAsia="Arial" w:cs="Arial"/>
        <w:sz w:val="20"/>
        <w:szCs w:val="20"/>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0"/>
      <w:szCs w:val="20"/>
    </w:rPr>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0"/>
      <w:szCs w:val="20"/>
    </w:rPr>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0"/>
      <w:szCs w:val="20"/>
    </w:rPr>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0"/>
      <w:szCs w:val="20"/>
    </w:rPr>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0"/>
      <w:szCs w:val="20"/>
    </w:rPr>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0"/>
      <w:szCs w:val="20"/>
    </w:rPr>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0"/>
      <w:szCs w:val="20"/>
    </w:rPr>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Fonts w:ascii="Arial" w:hAnsi="Arial" w:eastAsia="Arial" w:cs="Arial"/>
        <w:sz w:val="20"/>
        <w:szCs w:val="2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Fonts w:ascii="Arial" w:hAnsi="Arial" w:eastAsia="Arial" w:cs="Arial"/>
        <w:sz w:val="20"/>
        <w:szCs w:val="2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Fonts w:ascii="Arial" w:hAnsi="Arial" w:eastAsia="Arial" w:cs="Arial"/>
        <w:sz w:val="20"/>
        <w:szCs w:val="2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Fonts w:ascii="Arial" w:hAnsi="Arial" w:eastAsia="Arial" w:cs="Arial"/>
        <w:sz w:val="20"/>
        <w:szCs w:val="2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000000" w:themeColor="text1"/>
        <w:bottom w:val="single" w:sz="8" w:space="0" w:color="000000" w:themeColor="text1"/>
      </w:tblBorders>
    </w:tblPr>
    <w:tblStylePr w:type="firstRow">
      <w:rPr>
        <w:rFonts w:ascii="Arial" w:hAnsi="Arial" w:eastAsia="Arial" w:cs="Arial"/>
        <w:sz w:val="20"/>
        <w:szCs w:val="20"/>
      </w:rPr>
      <w:tblPr/>
      <w:tcPr>
        <w:tcBorders>
          <w:top w:val="nil"/>
          <w:bottom w:val="single" w:sz="8" w:space="0" w:color="000000" w:themeColor="text1"/>
        </w:tcBorders>
      </w:tcPr>
    </w:tblStylePr>
    <w:tblStylePr w:type="lastRow">
      <w:rPr>
        <w:b/>
        <w:bCs/>
        <w:color w:val="1F497D" w:themeColor="text2"/>
        <w:rFonts w:ascii="Arial" w:hAnsi="Arial" w:eastAsia="Arial" w:cs="Arial"/>
        <w:sz w:val="20"/>
        <w:szCs w:val="20"/>
      </w:rPr>
      <w:tblPr/>
      <w:tcPr>
        <w:tcBorders>
          <w:top w:val="single" w:sz="8" w:space="0" w:color="000000" w:themeColor="text1"/>
          <w:bottom w:val="single" w:sz="8" w:space="0" w:color="000000" w:themeColor="tex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F81BD" w:themeColor="accent1"/>
        <w:bottom w:val="single" w:sz="8" w:space="0" w:color="4F81BD" w:themeColor="accent1"/>
      </w:tblBorders>
    </w:tblPr>
    <w:tblStylePr w:type="firstRow">
      <w:rPr>
        <w:rFonts w:ascii="Arial" w:hAnsi="Arial" w:eastAsia="Arial" w:cs="Arial"/>
        <w:sz w:val="20"/>
        <w:szCs w:val="20"/>
      </w:rPr>
      <w:tblPr/>
      <w:tcPr>
        <w:tcBorders>
          <w:top w:val="nil"/>
          <w:bottom w:val="single" w:sz="8" w:space="0" w:color="4F81BD" w:themeColor="accent1"/>
        </w:tcBorders>
      </w:tcPr>
    </w:tblStylePr>
    <w:tblStylePr w:type="lastRow">
      <w:rPr>
        <w:b/>
        <w:bCs/>
        <w:color w:val="1F497D" w:themeColor="text2"/>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C0504D" w:themeColor="accent2"/>
        <w:bottom w:val="single" w:sz="8" w:space="0" w:color="C0504D" w:themeColor="accent2"/>
      </w:tblBorders>
    </w:tblPr>
    <w:tblStylePr w:type="firstRow">
      <w:rPr>
        <w:rFonts w:ascii="Arial" w:hAnsi="Arial" w:eastAsia="Arial" w:cs="Arial"/>
        <w:sz w:val="20"/>
        <w:szCs w:val="20"/>
      </w:rPr>
      <w:tblPr/>
      <w:tcPr>
        <w:tcBorders>
          <w:top w:val="nil"/>
          <w:bottom w:val="single" w:sz="8" w:space="0" w:color="C0504D" w:themeColor="accent2"/>
        </w:tcBorders>
      </w:tcPr>
    </w:tblStylePr>
    <w:tblStylePr w:type="lastRow">
      <w:rPr>
        <w:b/>
        <w:bCs/>
        <w:color w:val="1F497D" w:themeColor="text2"/>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9BBB59" w:themeColor="accent3"/>
        <w:bottom w:val="single" w:sz="8" w:space="0" w:color="9BBB59" w:themeColor="accent3"/>
      </w:tblBorders>
    </w:tblPr>
    <w:tblStylePr w:type="firstRow">
      <w:rPr>
        <w:rFonts w:ascii="Arial" w:hAnsi="Arial" w:eastAsia="Arial" w:cs="Arial"/>
        <w:sz w:val="20"/>
        <w:szCs w:val="20"/>
      </w:rPr>
      <w:tblPr/>
      <w:tcPr>
        <w:tcBorders>
          <w:top w:val="nil"/>
          <w:bottom w:val="single" w:sz="8" w:space="0" w:color="9BBB59" w:themeColor="accent3"/>
        </w:tcBorders>
      </w:tcPr>
    </w:tblStylePr>
    <w:tblStylePr w:type="lastRow">
      <w:rPr>
        <w:b/>
        <w:bCs/>
        <w:color w:val="1F497D" w:themeColor="text2"/>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8064A2" w:themeColor="accent4"/>
        <w:bottom w:val="single" w:sz="8" w:space="0" w:color="8064A2" w:themeColor="accent4"/>
      </w:tblBorders>
    </w:tblPr>
    <w:tblStylePr w:type="firstRow">
      <w:rPr>
        <w:rFonts w:ascii="Arial" w:hAnsi="Arial" w:eastAsia="Arial" w:cs="Arial"/>
        <w:sz w:val="20"/>
        <w:szCs w:val="20"/>
      </w:rPr>
      <w:tblPr/>
      <w:tcPr>
        <w:tcBorders>
          <w:top w:val="nil"/>
          <w:bottom w:val="single" w:sz="8" w:space="0" w:color="8064A2" w:themeColor="accent4"/>
        </w:tcBorders>
      </w:tcPr>
    </w:tblStylePr>
    <w:tblStylePr w:type="lastRow">
      <w:rPr>
        <w:b/>
        <w:bCs/>
        <w:color w:val="1F497D" w:themeColor="text2"/>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4BACC6" w:themeColor="accent5"/>
        <w:bottom w:val="single" w:sz="8" w:space="0" w:color="4BACC6" w:themeColor="accent5"/>
      </w:tblBorders>
    </w:tblPr>
    <w:tblStylePr w:type="firstRow">
      <w:rPr>
        <w:rFonts w:ascii="Arial" w:hAnsi="Arial" w:eastAsia="Arial" w:cs="Arial"/>
        <w:sz w:val="20"/>
        <w:szCs w:val="20"/>
      </w:rPr>
      <w:tblPr/>
      <w:tcPr>
        <w:tcBorders>
          <w:top w:val="nil"/>
          <w:bottom w:val="single" w:sz="8" w:space="0" w:color="4BACC6" w:themeColor="accent5"/>
        </w:tcBorders>
      </w:tcPr>
    </w:tblStylePr>
    <w:tblStylePr w:type="lastRow">
      <w:rPr>
        <w:b/>
        <w:bCs/>
        <w:color w:val="1F497D" w:themeColor="text2"/>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8" w:space="0" w:color="F79646" w:themeColor="accent6"/>
        <w:bottom w:val="single" w:sz="8" w:space="0" w:color="F79646" w:themeColor="accent6"/>
      </w:tblBorders>
    </w:tblPr>
    <w:tblStylePr w:type="firstRow">
      <w:rPr>
        <w:rFonts w:ascii="Arial" w:hAnsi="Arial" w:eastAsia="Arial" w:cs="Arial"/>
        <w:sz w:val="20"/>
        <w:szCs w:val="20"/>
      </w:rPr>
      <w:tblPr/>
      <w:tcPr>
        <w:tcBorders>
          <w:top w:val="nil"/>
          <w:bottom w:val="single" w:sz="8" w:space="0" w:color="F79646" w:themeColor="accent6"/>
        </w:tcBorders>
      </w:tcPr>
    </w:tblStylePr>
    <w:tblStylePr w:type="lastRow">
      <w:rPr>
        <w:b/>
        <w:bCs/>
        <w:color w:val="1F497D" w:themeColor="text2"/>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0"/>
        <w:szCs w:val="20"/>
        <w:rFonts w:ascii="Arial" w:hAnsi="Arial" w:eastAsia="Arial" w:cs="Arial"/>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0"/>
        <w:szCs w:val="20"/>
        <w:rFonts w:ascii="Arial" w:hAnsi="Arial" w:eastAsia="Arial" w:cs="Arial"/>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0"/>
        <w:szCs w:val="20"/>
        <w:rFonts w:ascii="Arial" w:hAnsi="Arial" w:eastAsia="Arial" w:cs="Arial"/>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0"/>
        <w:szCs w:val="20"/>
        <w:rFonts w:ascii="Arial" w:hAnsi="Arial" w:eastAsia="Arial" w:cs="Arial"/>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0"/>
        <w:szCs w:val="20"/>
        <w:rFonts w:ascii="Arial" w:hAnsi="Arial" w:eastAsia="Arial" w:cs="Arial"/>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0"/>
        <w:szCs w:val="20"/>
        <w:rFonts w:ascii="Arial" w:hAnsi="Arial" w:eastAsia="Arial" w:cs="Arial"/>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0"/>
        <w:szCs w:val="20"/>
        <w:rFonts w:ascii="Arial" w:hAnsi="Arial" w:eastAsia="Arial" w:cs="Arial"/>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0"/>
      <w:szCs w:val="20"/>
    </w:rPr>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404040" w:themeColor="tex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0"/>
      <w:szCs w:val="20"/>
    </w:rPr>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BA0CD" w:themeColor="accent1"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0"/>
      <w:szCs w:val="20"/>
    </w:rPr>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CF7B79" w:themeColor="accent2"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0"/>
      <w:szCs w:val="20"/>
    </w:rPr>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B3CC82" w:themeColor="accent3"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0"/>
      <w:szCs w:val="20"/>
    </w:rPr>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9F8AB9" w:themeColor="accent4"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0"/>
      <w:szCs w:val="20"/>
    </w:rPr>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78C0D4" w:themeColor="accent5"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0"/>
      <w:szCs w:val="20"/>
    </w:rPr>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Fonts w:ascii="Arial" w:hAnsi="Arial" w:eastAsia="Arial" w:cs="Arial"/>
        <w:sz w:val="20"/>
        <w:szCs w:val="20"/>
      </w:rPr>
    </w:tblStylePr>
    <w:tblStylePr w:type="lastRow">
      <w:rPr>
        <w:b/>
        <w:bCs/>
        <w:rFonts w:ascii="Arial" w:hAnsi="Arial" w:eastAsia="Arial" w:cs="Arial"/>
        <w:sz w:val="20"/>
        <w:szCs w:val="20"/>
      </w:rPr>
      <w:tblPr/>
      <w:tcPr>
        <w:tcBorders>
          <w:top w:val="single" w:sz="18" w:space="0" w:color="F9B074" w:themeColor="accent6" w:themeTint="BF"/>
        </w:tcBorders>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Fonts w:ascii="Arial" w:hAnsi="Arial" w:eastAsia="Arial" w:cs="Arial"/>
        <w:sz w:val="20"/>
        <w:szCs w:val="20"/>
      </w:rPr>
      <w:tblPr/>
      <w:tcPr>
        <w:shd w:val="clear" w:color="auto" w:fill="E6E6E6" w:themeFill="tex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Fonts w:ascii="Arial" w:hAnsi="Arial" w:eastAsia="Arial" w:cs="Arial"/>
        <w:sz w:val="20"/>
        <w:szCs w:val="20"/>
      </w:rPr>
      <w:tblPr/>
      <w:tcPr>
        <w:shd w:val="clear" w:color="auto" w:fill="EDF2F8" w:themeFill="accent1"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Fonts w:ascii="Arial" w:hAnsi="Arial" w:eastAsia="Arial" w:cs="Arial"/>
        <w:sz w:val="20"/>
        <w:szCs w:val="20"/>
      </w:rPr>
      <w:tblPr/>
      <w:tcPr>
        <w:shd w:val="clear" w:color="auto" w:fill="F8EDED" w:themeFill="accent2"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Fonts w:ascii="Arial" w:hAnsi="Arial" w:eastAsia="Arial" w:cs="Arial"/>
        <w:sz w:val="20"/>
        <w:szCs w:val="20"/>
      </w:rPr>
      <w:tblPr/>
      <w:tcPr>
        <w:shd w:val="clear" w:color="auto" w:fill="F5F8EE" w:themeFill="accent3"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Fonts w:ascii="Arial" w:hAnsi="Arial" w:eastAsia="Arial" w:cs="Arial"/>
        <w:sz w:val="20"/>
        <w:szCs w:val="20"/>
      </w:rPr>
      <w:tblPr/>
      <w:tcPr>
        <w:shd w:val="clear" w:color="auto" w:fill="F2EFF6" w:themeFill="accent4"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Fonts w:ascii="Arial" w:hAnsi="Arial" w:eastAsia="Arial" w:cs="Arial"/>
        <w:sz w:val="20"/>
        <w:szCs w:val="20"/>
      </w:rPr>
      <w:tblPr/>
      <w:tcPr>
        <w:shd w:val="clear" w:color="auto" w:fill="EDF6F9" w:themeFill="accent5"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sz w:val="20"/>
      <w:szCs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Fonts w:ascii="Arial" w:hAnsi="Arial" w:eastAsia="Arial" w:cs="Arial"/>
        <w:sz w:val="20"/>
        <w:szCs w:val="20"/>
      </w:rPr>
      <w:tblPr/>
      <w:tcPr>
        <w:shd w:val="clear" w:color="auto" w:fill="FEF4EC" w:themeFill="accent6" w:themeFillTint="19"/>
      </w:tcPr>
    </w:tblStylePr>
    <w:tblStylePr w:type="lastRow">
      <w:rPr>
        <w:b/>
        <w:bCs/>
        <w:color w:val="000000" w:themeColor="text1"/>
        <w:rFonts w:ascii="Arial" w:hAnsi="Arial" w:eastAsia="Arial" w:cs="Arial"/>
        <w:sz w:val="20"/>
        <w:szCs w:val="2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Fonts w:ascii="Arial" w:hAnsi="Arial" w:eastAsia="Arial" w:cs="Arial"/>
        <w:sz w:val="20"/>
        <w:szCs w:val="2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0"/>
      <w:szCs w:val="20"/>
    </w:rPr>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0"/>
      <w:szCs w:val="20"/>
    </w:rPr>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0"/>
      <w:szCs w:val="20"/>
    </w:rPr>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0"/>
      <w:szCs w:val="20"/>
    </w:rPr>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0"/>
      <w:szCs w:val="20"/>
    </w:rPr>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0"/>
      <w:szCs w:val="20"/>
    </w:rPr>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0"/>
      <w:szCs w:val="20"/>
    </w:rPr>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Fonts w:ascii="Arial" w:hAnsi="Arial" w:eastAsia="Arial" w:cs="Arial"/>
        <w:sz w:val="20"/>
        <w:szCs w:val="2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Fonts w:ascii="Arial" w:hAnsi="Arial" w:eastAsia="Arial" w:cs="Arial"/>
        <w:sz w:val="20"/>
        <w:szCs w:val="2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Fonts w:ascii="Arial" w:hAnsi="Arial" w:eastAsia="Arial" w:cs="Arial"/>
        <w:sz w:val="20"/>
        <w:szCs w:val="2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Fonts w:ascii="Arial" w:hAnsi="Arial" w:eastAsia="Arial" w:cs="Arial"/>
        <w:sz w:val="20"/>
        <w:szCs w:val="2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000000" w:themeFill="tex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F81BD" w:themeFill="accent1"/>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C0504D" w:themeFill="accent2"/>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9BBB59" w:themeFill="accent3"/>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8064A2" w:themeFill="accent4"/>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4BACC6" w:themeFill="accent5"/>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0"/>
      <w:szCs w:val="20"/>
    </w:rPr>
    <w:tblPr>
      <w:tblStyleRowBandSize w:val="1"/>
      <w:tblStyleColBandSize w:val="1"/>
    </w:tblPr>
    <w:tcPr>
      <w:shd w:val="clear" w:color="auto" w:fill="F79646" w:themeFill="accent6"/>
    </w:tcPr>
    <w:tblStylePr w:type="firstRow">
      <w:rPr>
        <w:b/>
        <w:bCs/>
        <w:rFonts w:ascii="Arial" w:hAnsi="Arial" w:eastAsia="Arial" w:cs="Arial"/>
        <w:sz w:val="20"/>
        <w:szCs w:val="20"/>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000000" w:themeFill="tex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1">
    <w:name w:val="Colorful Shading Accent 1"/>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C4C74" w:themeFill="accent1"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2">
    <w:name w:val="Colorful Shading Accent 2"/>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Fonts w:ascii="Arial" w:hAnsi="Arial" w:eastAsia="Arial" w:cs="Arial"/>
        <w:sz w:val="20"/>
        <w:szCs w:val="20"/>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772C2A" w:themeFill="accent2"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3">
    <w:name w:val="Colorful Shading Accent 3"/>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Fonts w:ascii="Arial" w:hAnsi="Arial" w:eastAsia="Arial" w:cs="Arial"/>
        <w:sz w:val="20"/>
        <w:szCs w:val="20"/>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5E7530" w:themeFill="accent3"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Fonts w:ascii="Arial" w:hAnsi="Arial" w:eastAsia="Arial" w:cs="Arial"/>
        <w:sz w:val="20"/>
        <w:szCs w:val="20"/>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4C3B62" w:themeFill="accent4"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5">
    <w:name w:val="Colorful Shading Accent 5"/>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Fonts w:ascii="Arial" w:hAnsi="Arial" w:eastAsia="Arial" w:cs="Arial"/>
        <w:sz w:val="20"/>
        <w:szCs w:val="20"/>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276A7C" w:themeFill="accent5"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ShadingAccent6">
    <w:name w:val="Colorful Shading Accent 6"/>
    <w:basedOn w:val="TableNormal"/>
    <w:uiPriority w:val="71"/>
    <w:rsid w:val="00CB0664"/>
    <w:pPr>
      <w:spacing w:after="0" w:line="240" w:lineRule="auto"/>
    </w:pPr>
    <w:rPr>
      <w:color w:val="000000" w:themeColor="text1"/>
      <w:rFonts w:ascii="Arial" w:hAnsi="Arial" w:eastAsia="Arial" w:cs="Arial"/>
      <w:sz w:val="20"/>
      <w:szCs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Fonts w:ascii="Arial" w:hAnsi="Arial" w:eastAsia="Arial" w:cs="Arial"/>
        <w:sz w:val="20"/>
        <w:szCs w:val="20"/>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Fonts w:ascii="Arial" w:hAnsi="Arial" w:eastAsia="Arial" w:cs="Arial"/>
        <w:sz w:val="20"/>
        <w:szCs w:val="20"/>
      </w:rPr>
      <w:tblPr/>
      <w:tcPr>
        <w:tcBorders>
          <w:top w:val="single" w:sz="6" w:space="0" w:color="FFFFFF" w:themeColor="background1"/>
        </w:tcBorders>
        <w:shd w:val="clear" w:color="auto" w:fill="B65608" w:themeFill="accent6" w:themeFillShade="99"/>
      </w:tcPr>
    </w:tblStylePr>
    <w:tblStylePr w:type="firstCol">
      <w:rPr>
        <w:color w:val="FFFFFF" w:themeColor="background1"/>
        <w:rFonts w:ascii="Arial" w:hAnsi="Arial" w:eastAsia="Arial" w:cs="Arial"/>
        <w:sz w:val="20"/>
        <w:szCs w:val="2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Fonts w:ascii="Arial" w:hAnsi="Arial" w:eastAsia="Arial" w:cs="Arial"/>
        <w:sz w:val="20"/>
        <w:szCs w:val="2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Fonts w:ascii="Arial" w:hAnsi="Arial" w:eastAsia="Arial" w:cs="Arial"/>
        <w:sz w:val="20"/>
        <w:szCs w:val="20"/>
      </w:rPr>
    </w:tblStylePr>
    <w:tblStylePr w:type="nwCell">
      <w:rPr>
        <w:color w:val="000000" w:themeColor="text1"/>
        <w:rFonts w:ascii="Arial" w:hAnsi="Arial" w:eastAsia="Arial" w:cs="Arial"/>
        <w:sz w:val="20"/>
        <w:szCs w:val="20"/>
      </w:rPr>
    </w:tblStylePr>
  </w:style>
  <w:style w:type="table" w:styleId="ColourfulList">
    <w:name w:val="Colorful List"/>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6E6E6" w:themeFill="tex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2F8" w:themeFill="accent1"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8EDED" w:themeFill="accent2"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5F8EE" w:themeFill="accent3"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2EFF6" w:themeFill="accent4"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EDF6F9" w:themeFill="accent5"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Fonts w:ascii="Arial" w:hAnsi="Arial" w:eastAsia="Arial" w:cs="Arial"/>
      <w:sz w:val="20"/>
      <w:szCs w:val="20"/>
    </w:rPr>
    <w:tblPr>
      <w:tblStyleRowBandSize w:val="1"/>
      <w:tblStyleColBandSize w:val="1"/>
    </w:tblPr>
    <w:tcPr>
      <w:shd w:val="clear" w:color="auto" w:fill="FEF4EC" w:themeFill="accent6" w:themeFillTint="19"/>
    </w:tcPr>
    <w:tblStylePr w:type="firstRow">
      <w:rPr>
        <w:b/>
        <w:bCs/>
        <w:color w:val="FFFFFF" w:themeColor="background1"/>
        <w:rFonts w:ascii="Arial" w:hAnsi="Arial" w:eastAsia="Arial" w:cs="Arial"/>
        <w:sz w:val="20"/>
        <w:szCs w:val="20"/>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Fonts w:ascii="Arial" w:hAnsi="Arial" w:eastAsia="Arial" w:cs="Arial"/>
        <w:sz w:val="20"/>
        <w:szCs w:val="20"/>
      </w:rPr>
      <w:tblPr/>
      <w:tcPr>
        <w:tcBorders>
          <w:top w:val="single" w:sz="12" w:space="0" w:color="000000" w:themeColor="text1"/>
        </w:tcBorders>
        <w:shd w:val="clear" w:color="auto" w:fill="FFFFFF" w:themeFill="background1"/>
      </w:tcPr>
    </w:tblStylePr>
    <w:tblStylePr w:type="firstCol">
      <w:rPr>
        <w:b/>
        <w:bCs/>
        <w:rFonts w:ascii="Arial" w:hAnsi="Arial" w:eastAsia="Arial" w:cs="Arial"/>
        <w:sz w:val="20"/>
        <w:szCs w:val="20"/>
      </w:rPr>
    </w:tblStylePr>
    <w:tblStylePr w:type="lastCol">
      <w:rPr>
        <w:b/>
        <w:bCs/>
        <w:rFonts w:ascii="Arial" w:hAnsi="Arial" w:eastAsia="Arial" w:cs="Arial"/>
        <w:sz w:val="20"/>
        <w:szCs w:val="20"/>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Fonts w:ascii="Arial" w:hAnsi="Arial" w:eastAsia="Arial" w:cs="Arial"/>
        <w:sz w:val="20"/>
        <w:szCs w:val="20"/>
      </w:rPr>
      <w:tblPr/>
      <w:tcPr>
        <w:shd w:val="clear" w:color="auto" w:fill="999999" w:themeFill="text1" w:themeFillTint="66"/>
      </w:tcPr>
    </w:tblStylePr>
    <w:tblStylePr w:type="lastRow">
      <w:rPr>
        <w:b/>
        <w:bCs/>
        <w:color w:val="000000" w:themeColor="text1"/>
        <w:rFonts w:ascii="Arial" w:hAnsi="Arial" w:eastAsia="Arial" w:cs="Arial"/>
        <w:sz w:val="20"/>
        <w:szCs w:val="20"/>
      </w:rPr>
      <w:tblPr/>
      <w:tcPr>
        <w:shd w:val="clear" w:color="auto" w:fill="999999" w:themeFill="text1" w:themeFillTint="66"/>
      </w:tcPr>
    </w:tblStylePr>
    <w:tblStylePr w:type="firstCol">
      <w:rPr>
        <w:color w:val="FFFFFF" w:themeColor="background1"/>
        <w:rFonts w:ascii="Arial" w:hAnsi="Arial" w:eastAsia="Arial" w:cs="Arial"/>
        <w:sz w:val="20"/>
        <w:szCs w:val="20"/>
      </w:rPr>
      <w:tblPr/>
      <w:tcPr>
        <w:shd w:val="clear" w:color="auto" w:fill="000000" w:themeFill="text1" w:themeFillShade="BF"/>
      </w:tcPr>
    </w:tblStylePr>
    <w:tblStylePr w:type="lastCol">
      <w:rPr>
        <w:color w:val="FFFFFF" w:themeColor="background1"/>
        <w:rFonts w:ascii="Arial" w:hAnsi="Arial" w:eastAsia="Arial" w:cs="Arial"/>
        <w:sz w:val="20"/>
        <w:szCs w:val="2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Fonts w:ascii="Arial" w:hAnsi="Arial" w:eastAsia="Arial" w:cs="Arial"/>
        <w:sz w:val="20"/>
        <w:szCs w:val="20"/>
      </w:rPr>
      <w:tblPr/>
      <w:tcPr>
        <w:shd w:val="clear" w:color="auto" w:fill="B8CCE4" w:themeFill="accent1" w:themeFillTint="66"/>
      </w:tcPr>
    </w:tblStylePr>
    <w:tblStylePr w:type="lastRow">
      <w:rPr>
        <w:b/>
        <w:bCs/>
        <w:color w:val="000000" w:themeColor="text1"/>
        <w:rFonts w:ascii="Arial" w:hAnsi="Arial" w:eastAsia="Arial" w:cs="Arial"/>
        <w:sz w:val="20"/>
        <w:szCs w:val="20"/>
      </w:rPr>
      <w:tblPr/>
      <w:tcPr>
        <w:shd w:val="clear" w:color="auto" w:fill="B8CCE4" w:themeFill="accent1" w:themeFillTint="66"/>
      </w:tcPr>
    </w:tblStylePr>
    <w:tblStylePr w:type="firstCol">
      <w:rPr>
        <w:color w:val="FFFFFF" w:themeColor="background1"/>
        <w:rFonts w:ascii="Arial" w:hAnsi="Arial" w:eastAsia="Arial" w:cs="Arial"/>
        <w:sz w:val="20"/>
        <w:szCs w:val="20"/>
      </w:rPr>
      <w:tblPr/>
      <w:tcPr>
        <w:shd w:val="clear" w:color="auto" w:fill="365F91" w:themeFill="accent1" w:themeFillShade="BF"/>
      </w:tcPr>
    </w:tblStylePr>
    <w:tblStylePr w:type="lastCol">
      <w:rPr>
        <w:color w:val="FFFFFF" w:themeColor="background1"/>
        <w:rFonts w:ascii="Arial" w:hAnsi="Arial" w:eastAsia="Arial" w:cs="Arial"/>
        <w:sz w:val="20"/>
        <w:szCs w:val="2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Fonts w:ascii="Arial" w:hAnsi="Arial" w:eastAsia="Arial" w:cs="Arial"/>
        <w:sz w:val="20"/>
        <w:szCs w:val="20"/>
      </w:rPr>
      <w:tblPr/>
      <w:tcPr>
        <w:shd w:val="clear" w:color="auto" w:fill="E5B8B7" w:themeFill="accent2" w:themeFillTint="66"/>
      </w:tcPr>
    </w:tblStylePr>
    <w:tblStylePr w:type="lastRow">
      <w:rPr>
        <w:b/>
        <w:bCs/>
        <w:color w:val="000000" w:themeColor="text1"/>
        <w:rFonts w:ascii="Arial" w:hAnsi="Arial" w:eastAsia="Arial" w:cs="Arial"/>
        <w:sz w:val="20"/>
        <w:szCs w:val="20"/>
      </w:rPr>
      <w:tblPr/>
      <w:tcPr>
        <w:shd w:val="clear" w:color="auto" w:fill="E5B8B7" w:themeFill="accent2" w:themeFillTint="66"/>
      </w:tcPr>
    </w:tblStylePr>
    <w:tblStylePr w:type="firstCol">
      <w:rPr>
        <w:color w:val="FFFFFF" w:themeColor="background1"/>
        <w:rFonts w:ascii="Arial" w:hAnsi="Arial" w:eastAsia="Arial" w:cs="Arial"/>
        <w:sz w:val="20"/>
        <w:szCs w:val="20"/>
      </w:rPr>
      <w:tblPr/>
      <w:tcPr>
        <w:shd w:val="clear" w:color="auto" w:fill="943634" w:themeFill="accent2" w:themeFillShade="BF"/>
      </w:tcPr>
    </w:tblStylePr>
    <w:tblStylePr w:type="lastCol">
      <w:rPr>
        <w:color w:val="FFFFFF" w:themeColor="background1"/>
        <w:rFonts w:ascii="Arial" w:hAnsi="Arial" w:eastAsia="Arial" w:cs="Arial"/>
        <w:sz w:val="20"/>
        <w:szCs w:val="2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Fonts w:ascii="Arial" w:hAnsi="Arial" w:eastAsia="Arial" w:cs="Arial"/>
        <w:sz w:val="20"/>
        <w:szCs w:val="20"/>
      </w:rPr>
      <w:tblPr/>
      <w:tcPr>
        <w:shd w:val="clear" w:color="auto" w:fill="D6E3BC" w:themeFill="accent3" w:themeFillTint="66"/>
      </w:tcPr>
    </w:tblStylePr>
    <w:tblStylePr w:type="lastRow">
      <w:rPr>
        <w:b/>
        <w:bCs/>
        <w:color w:val="000000" w:themeColor="text1"/>
        <w:rFonts w:ascii="Arial" w:hAnsi="Arial" w:eastAsia="Arial" w:cs="Arial"/>
        <w:sz w:val="20"/>
        <w:szCs w:val="20"/>
      </w:rPr>
      <w:tblPr/>
      <w:tcPr>
        <w:shd w:val="clear" w:color="auto" w:fill="D6E3BC" w:themeFill="accent3" w:themeFillTint="66"/>
      </w:tcPr>
    </w:tblStylePr>
    <w:tblStylePr w:type="firstCol">
      <w:rPr>
        <w:color w:val="FFFFFF" w:themeColor="background1"/>
        <w:rFonts w:ascii="Arial" w:hAnsi="Arial" w:eastAsia="Arial" w:cs="Arial"/>
        <w:sz w:val="20"/>
        <w:szCs w:val="20"/>
      </w:rPr>
      <w:tblPr/>
      <w:tcPr>
        <w:shd w:val="clear" w:color="auto" w:fill="76923C" w:themeFill="accent3" w:themeFillShade="BF"/>
      </w:tcPr>
    </w:tblStylePr>
    <w:tblStylePr w:type="lastCol">
      <w:rPr>
        <w:color w:val="FFFFFF" w:themeColor="background1"/>
        <w:rFonts w:ascii="Arial" w:hAnsi="Arial" w:eastAsia="Arial" w:cs="Arial"/>
        <w:sz w:val="20"/>
        <w:szCs w:val="2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Fonts w:ascii="Arial" w:hAnsi="Arial" w:eastAsia="Arial" w:cs="Arial"/>
        <w:sz w:val="20"/>
        <w:szCs w:val="20"/>
      </w:rPr>
      <w:tblPr/>
      <w:tcPr>
        <w:shd w:val="clear" w:color="auto" w:fill="CCC0D9" w:themeFill="accent4" w:themeFillTint="66"/>
      </w:tcPr>
    </w:tblStylePr>
    <w:tblStylePr w:type="lastRow">
      <w:rPr>
        <w:b/>
        <w:bCs/>
        <w:color w:val="000000" w:themeColor="text1"/>
        <w:rFonts w:ascii="Arial" w:hAnsi="Arial" w:eastAsia="Arial" w:cs="Arial"/>
        <w:sz w:val="20"/>
        <w:szCs w:val="20"/>
      </w:rPr>
      <w:tblPr/>
      <w:tcPr>
        <w:shd w:val="clear" w:color="auto" w:fill="CCC0D9" w:themeFill="accent4" w:themeFillTint="66"/>
      </w:tcPr>
    </w:tblStylePr>
    <w:tblStylePr w:type="firstCol">
      <w:rPr>
        <w:color w:val="FFFFFF" w:themeColor="background1"/>
        <w:rFonts w:ascii="Arial" w:hAnsi="Arial" w:eastAsia="Arial" w:cs="Arial"/>
        <w:sz w:val="20"/>
        <w:szCs w:val="20"/>
      </w:rPr>
      <w:tblPr/>
      <w:tcPr>
        <w:shd w:val="clear" w:color="auto" w:fill="5F497A" w:themeFill="accent4" w:themeFillShade="BF"/>
      </w:tcPr>
    </w:tblStylePr>
    <w:tblStylePr w:type="lastCol">
      <w:rPr>
        <w:color w:val="FFFFFF" w:themeColor="background1"/>
        <w:rFonts w:ascii="Arial" w:hAnsi="Arial" w:eastAsia="Arial" w:cs="Arial"/>
        <w:sz w:val="20"/>
        <w:szCs w:val="2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Fonts w:ascii="Arial" w:hAnsi="Arial" w:eastAsia="Arial" w:cs="Arial"/>
        <w:sz w:val="20"/>
        <w:szCs w:val="20"/>
      </w:rPr>
      <w:tblPr/>
      <w:tcPr>
        <w:shd w:val="clear" w:color="auto" w:fill="B6DDE8" w:themeFill="accent5" w:themeFillTint="66"/>
      </w:tcPr>
    </w:tblStylePr>
    <w:tblStylePr w:type="lastRow">
      <w:rPr>
        <w:b/>
        <w:bCs/>
        <w:color w:val="000000" w:themeColor="text1"/>
        <w:rFonts w:ascii="Arial" w:hAnsi="Arial" w:eastAsia="Arial" w:cs="Arial"/>
        <w:sz w:val="20"/>
        <w:szCs w:val="20"/>
      </w:rPr>
      <w:tblPr/>
      <w:tcPr>
        <w:shd w:val="clear" w:color="auto" w:fill="B6DDE8" w:themeFill="accent5" w:themeFillTint="66"/>
      </w:tcPr>
    </w:tblStylePr>
    <w:tblStylePr w:type="firstCol">
      <w:rPr>
        <w:color w:val="FFFFFF" w:themeColor="background1"/>
        <w:rFonts w:ascii="Arial" w:hAnsi="Arial" w:eastAsia="Arial" w:cs="Arial"/>
        <w:sz w:val="20"/>
        <w:szCs w:val="20"/>
      </w:rPr>
      <w:tblPr/>
      <w:tcPr>
        <w:shd w:val="clear" w:color="auto" w:fill="31849B" w:themeFill="accent5" w:themeFillShade="BF"/>
      </w:tcPr>
    </w:tblStylePr>
    <w:tblStylePr w:type="lastCol">
      <w:rPr>
        <w:color w:val="FFFFFF" w:themeColor="background1"/>
        <w:rFonts w:ascii="Arial" w:hAnsi="Arial" w:eastAsia="Arial" w:cs="Arial"/>
        <w:sz w:val="20"/>
        <w:szCs w:val="2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Fonts w:ascii="Arial" w:hAnsi="Arial" w:eastAsia="Arial" w:cs="Arial"/>
      <w:sz w:val="20"/>
      <w:szCs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Fonts w:ascii="Arial" w:hAnsi="Arial" w:eastAsia="Arial" w:cs="Arial"/>
        <w:sz w:val="20"/>
        <w:szCs w:val="20"/>
      </w:rPr>
      <w:tblPr/>
      <w:tcPr>
        <w:shd w:val="clear" w:color="auto" w:fill="FBD4B4" w:themeFill="accent6" w:themeFillTint="66"/>
      </w:tcPr>
    </w:tblStylePr>
    <w:tblStylePr w:type="lastRow">
      <w:rPr>
        <w:b/>
        <w:bCs/>
        <w:color w:val="000000" w:themeColor="text1"/>
        <w:rFonts w:ascii="Arial" w:hAnsi="Arial" w:eastAsia="Arial" w:cs="Arial"/>
        <w:sz w:val="20"/>
        <w:szCs w:val="20"/>
      </w:rPr>
      <w:tblPr/>
      <w:tcPr>
        <w:shd w:val="clear" w:color="auto" w:fill="FBD4B4" w:themeFill="accent6" w:themeFillTint="66"/>
      </w:tcPr>
    </w:tblStylePr>
    <w:tblStylePr w:type="firstCol">
      <w:rPr>
        <w:color w:val="FFFFFF" w:themeColor="background1"/>
        <w:rFonts w:ascii="Arial" w:hAnsi="Arial" w:eastAsia="Arial" w:cs="Arial"/>
        <w:sz w:val="20"/>
        <w:szCs w:val="20"/>
      </w:rPr>
      <w:tblPr/>
      <w:tcPr>
        <w:shd w:val="clear" w:color="auto" w:fill="E36C0A" w:themeFill="accent6" w:themeFillShade="BF"/>
      </w:tcPr>
    </w:tblStylePr>
    <w:tblStylePr w:type="lastCol">
      <w:rPr>
        <w:color w:val="FFFFFF" w:themeColor="background1"/>
        <w:rFonts w:ascii="Arial" w:hAnsi="Arial" w:eastAsia="Arial" w:cs="Arial"/>
        <w:sz w:val="20"/>
        <w:szCs w:val="2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FootnoteReference">
    <w:name w:val="footnote reference"/>
    <w:uiPriority w:val="99"/>
    <w:unhideWhenUsed/>
    <w:rsid w:val="008F64FC"/>
    <w:rPr>
      <w:vertAlign w:val="superscript"/>
      <w:rFonts w:ascii="Arial" w:hAnsi="Arial" w:eastAsia="Arial" w:cs="Arial"/>
      <w:sz w:val="20"/>
      <w:szCs w:val="20"/>
    </w:rPr>
  </w:style>
  <w:style w:type="paragraph" w:styleId="FootnoteText">
    <w:name w:val="footnote text"/>
    <w:basedOn w:val="Normal"/>
    <w:link w:val="FootnoteTextChar"/>
    <w:uiPriority w:val="99"/>
    <w:unhideWhenUsed/>
    <w:rsid w:val="008F64FC"/>
    <w:pPr>
      <w:spacing w:after="200" w:line="276" w:lineRule="auto"/>
    </w:pPr>
    <w:rPr>
      <w:rFonts w:ascii="Arial" w:hAnsi="Arial" w:eastAsia="Arial" w:cs="Arial"/>
      <w:color w:val="auto"/>
      <w:sz w:val="20"/>
      <w:szCs w:val="20"/>
      <w:lang w:val="en-NA" w:eastAsia="en-GB"/>
    </w:rPr>
  </w:style>
  <w:style w:type="character" w:customStyle="1" w:styleId="FootnoteTextChar">
    <w:name w:val="Footnote Text Char"/>
    <w:basedOn w:val="DefaultParagraphFont"/>
    <w:link w:val="FootnoteText"/>
    <w:uiPriority w:val="99"/>
    <w:rsid w:val="008F64FC"/>
    <w:rPr>
      <w:rFonts w:ascii="Arial" w:hAnsi="Arial" w:eastAsia="Arial" w:cs="Arial"/>
      <w:sz w:val="20"/>
      <w:szCs w:val="20"/>
      <w:lang w:val="en-NA" w:eastAsia="en-GB"/>
    </w:rPr>
  </w:style>
  <w:style w:type="paragraph" w:customStyle="1" w:styleId="Default">
    <w:name w:val="Default"/>
    <w:rsid w:val="008F64FC"/>
    <w:pPr>
      <w:autoSpaceDE w:val="0"/>
      <w:autoSpaceDN w:val="0"/>
      <w:adjustRightInd w:val="0"/>
      <w:spacing w:after="0" w:line="240" w:lineRule="auto"/>
    </w:pPr>
    <w:rPr>
      <w:rFonts w:ascii="Arial" w:hAnsi="Arial" w:eastAsia="Arial" w:cs="Arial"/>
      <w:color w:val="000000"/>
      <w:sz w:val="20"/>
      <w:szCs w:val="20"/>
      <w:lang w:val="en-NA"/>
    </w:rPr>
  </w:style>
  <w:style w:type="paragraph" w:customStyle="1" w:styleId="BodyA">
    <w:name w:val="Body A"/>
    <w:rsid w:val="00885E26"/>
    <w:pPr>
      <w:spacing w:after="100"/>
    </w:pPr>
    <w:rPr>
      <w:rFonts w:ascii="Arial" w:hAnsi="Arial" w:eastAsia="Arial" w:cs="Arial"/>
      <w:color w:val="000000"/>
      <w:sz w:val="20"/>
      <w:szCs w:val="20"/>
      <w:u w:color="000000"/>
    </w:rPr>
  </w:style>
  <w:style w:type="character" w:customStyle="1" w:styleId="None">
    <w:rPr>
      <w:rFonts w:ascii="Arial" w:hAnsi="Arial" w:eastAsia="Arial" w:cs="Arial"/>
      <w:sz w:val="20"/>
      <w:szCs w:val="20"/>
    </w:rPr>
    <w:name w:val="None"/>
    <w:rsid w:val="00885E26"/>
  </w:style>
  <w:style w:type="paragraph" w:customStyle="1" w:styleId="p1">
    <w:name w:val="p1"/>
    <w:basedOn w:val="Normal"/>
    <w:rsid w:val="00885E26"/>
    <w:pPr>
      <w:spacing w:after="0" w:line="240" w:lineRule="auto"/>
    </w:pPr>
    <w:rPr>
      <w:rFonts w:ascii="Arial" w:hAnsi="Arial" w:eastAsia="Arial" w:cs="Arial"/>
      <w:sz w:val="20"/>
      <w:szCs w:val="20"/>
      <w:lang w:val="en-NA"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hamberofmines.org.na/wp-content/uploads/2024/04/2023-Chamber-of-Mines-Annual-Review.-Final-Web.pdf" TargetMode="External"/><Relationship Id="rId21" Type="http://schemas.openxmlformats.org/officeDocument/2006/relationships/hyperlink" Target="https://unesdoc.unesco.org/ark:/48223/pf0000265552" TargetMode="External"/><Relationship Id="rId34" Type="http://schemas.openxmlformats.org/officeDocument/2006/relationships/hyperlink" Target="https://www.metso.com/globalassets/insights/ebooks/mo-basics-in-mineral-processing-handbook_lowres.pdf" TargetMode="External"/><Relationship Id="rId42" Type="http://schemas.openxmlformats.org/officeDocument/2006/relationships/hyperlink" Target="https://doi.org/10.3390/min11050533" TargetMode="External"/><Relationship Id="rId47" Type="http://schemas.openxmlformats.org/officeDocument/2006/relationships/hyperlink" Target="https://smemi.personifycloud.com/PersonifyEbusiness/Store/SME-Mineral-Processing--Extractive-Metallurgy-Handbook/ProductDetail/2829543" TargetMode="External"/><Relationship Id="rId50" Type="http://schemas.openxmlformats.org/officeDocument/2006/relationships/hyperlink" Target="https://www.iso.org/standard/83054.html" TargetMode="External"/><Relationship Id="rId55" Type="http://schemas.openxmlformats.org/officeDocument/2006/relationships/hyperlink" Target="https://doi.org/10.3390/min11050533" TargetMode="External"/><Relationship Id="rId63" Type="http://schemas.openxmlformats.org/officeDocument/2006/relationships/hyperlink" Target="https://www.mme.gov.na/files/publications/534_MIME%20SP%202025_26%20-%202029_30.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s.libreoffice.org/en/GS248/GS24800-Preface.html" TargetMode="External"/><Relationship Id="rId29" Type="http://schemas.openxmlformats.org/officeDocument/2006/relationships/hyperlink" Target="https://chamberofmines.org.na/wp-content/uploads/2024/04/2023-Chamber-of-Mines-Annual-Review.-Final-Web.pdf" TargetMode="External"/><Relationship Id="rId11" Type="http://schemas.openxmlformats.org/officeDocument/2006/relationships/hyperlink" Target="https://www.vanschaiknet.com/wp-content/uploads/2024/04/DIGITAL-CATALOGUE-2023.pdf" TargetMode="External"/><Relationship Id="rId24" Type="http://schemas.openxmlformats.org/officeDocument/2006/relationships/hyperlink" Target="https://the-eis.com/elibrary/sites/default/files/downloads/literature/Best%20Practice%20Guide%20in%20Mining%20Part%204_Mining%20and%20Processing%20Operations_2019.pdf" TargetMode="External"/><Relationship Id="rId32" Type="http://schemas.openxmlformats.org/officeDocument/2006/relationships/hyperlink" Target="https://hub.icmm.com/website/publications/pdfs/environmental-stewardship/2021/guidance_tailings-management.pdf" TargetMode="External"/><Relationship Id="rId37" Type="http://schemas.openxmlformats.org/officeDocument/2006/relationships/hyperlink" Target="https://the-eis.com/elibrary/sites/default/files/downloads/literature/Best%20Practice%20Guide%20in%20Mining%20Part%204_Mining%20and%20Processing%20Operations_2019.pdf" TargetMode="External"/><Relationship Id="rId40" Type="http://schemas.openxmlformats.org/officeDocument/2006/relationships/hyperlink" Target="https://www.metso.com/globalassets/insights/ebooks/mo-basics-in-mineral-processing-handbook_lowres.pdf" TargetMode="External"/><Relationship Id="rId45" Type="http://schemas.openxmlformats.org/officeDocument/2006/relationships/hyperlink" Target="https://hub.icmm.com/website/publications/pdfs/environmental-stewardship/2021/guidance_tailings-management.pdf" TargetMode="External"/><Relationship Id="rId53" Type="http://schemas.openxmlformats.org/officeDocument/2006/relationships/hyperlink" Target="https://smemi.personifycloud.com/PersonifyEbusiness/Store/SME-Mineral-Processing--Extractive-Metallurgy-Handbook/ProductDetail/2829543" TargetMode="External"/><Relationship Id="rId58" Type="http://schemas.openxmlformats.org/officeDocument/2006/relationships/hyperlink" Target="https://regqs.saqa.org.za/viewQualification.php?id=124365"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npc.gov.na/wp-content/uploads/2025/07/NDP6-Booklet.pdf" TargetMode="External"/><Relationship Id="rId19" Type="http://schemas.openxmlformats.org/officeDocument/2006/relationships/hyperlink" Target="https://www.mict.gov.na/documents/869282/1009163/National%2BCyberSecurity%2BStrategy%2Band%2B%2BAwareness%2BRaising%2BPlan%2B2022%2B-%2B2027%2B%2B13%2B10%2B22.pdf/ea059f22-173f-ad8f-47a3-eb29cd0a0ee1" TargetMode="External"/><Relationship Id="rId14" Type="http://schemas.openxmlformats.org/officeDocument/2006/relationships/hyperlink" Target="https://unesdoc.unesco.org/ark:/48223/pf0000265552" TargetMode="External"/><Relationship Id="rId22" Type="http://schemas.openxmlformats.org/officeDocument/2006/relationships/hyperlink" Target="https://www.metso.com/globalassets/insights/ebooks/mo-basics-in-mineral-processing-handbook_lowres.pdf" TargetMode="External"/><Relationship Id="rId27" Type="http://schemas.openxmlformats.org/officeDocument/2006/relationships/hyperlink" Target="https://www.ilo.org/resource/other/code-practice-safety-and-health-opencast-mines" TargetMode="External"/><Relationship Id="rId30" Type="http://schemas.openxmlformats.org/officeDocument/2006/relationships/hyperlink" Target="https://stacks.cdc.gov/view/cdc/76769" TargetMode="External"/><Relationship Id="rId35" Type="http://schemas.openxmlformats.org/officeDocument/2006/relationships/hyperlink" Target="https://smemi.personifycloud.com/PersonifyEbusiness/Store/SME-Mineral-Processing--Extractive-Metallurgy-Handbook/ProductDetail/2829543" TargetMode="External"/><Relationship Id="rId43" Type="http://schemas.openxmlformats.org/officeDocument/2006/relationships/hyperlink" Target="https://the-eis.com/elibrary/sites/default/files/downloads/literature/Best%20Practice%20Guide%20in%20Mining%20Part%204_Mining%20and%20Processing%20Operations_2019.pdf" TargetMode="External"/><Relationship Id="rId48" Type="http://schemas.openxmlformats.org/officeDocument/2006/relationships/hyperlink" Target="https://the-eis.com/elibrary/sites/default/files/downloads/literature/Best%20Practice%20Guide%20in%20Mining%20Part%204_Mining%20and%20Processing%20Operations_2019.pdf" TargetMode="External"/><Relationship Id="rId56" Type="http://schemas.openxmlformats.org/officeDocument/2006/relationships/hyperlink" Target="https://chamberofmines.org.na/wp-content/uploads/2024/04/2023-Chamber-of-Mines-Annual-Review.-Final-Web.pdf" TargetMode="External"/><Relationship Id="rId64" Type="http://schemas.openxmlformats.org/officeDocument/2006/relationships/hyperlink" Target="https://meft.gov.na/files/downloads/749_Enivronmental%20Management%20Act%202007.pdf" TargetMode="External"/><Relationship Id="rId8" Type="http://schemas.openxmlformats.org/officeDocument/2006/relationships/image" Target="media/image1.jpg"/><Relationship Id="rId51" Type="http://schemas.openxmlformats.org/officeDocument/2006/relationships/hyperlink" Target="https://stacks.cdc.gov/view/cdc/76769" TargetMode="External"/><Relationship Id="rId3" Type="http://schemas.openxmlformats.org/officeDocument/2006/relationships/styles" Target="styles.xml"/><Relationship Id="rId12" Type="http://schemas.openxmlformats.org/officeDocument/2006/relationships/hyperlink" Target="https://openlibrary-repo.ecampusontario.ca/jspui/bitstream/123456789/557/15/Communication-at-Work-1550774380._print.pdf" TargetMode="External"/><Relationship Id="rId17" Type="http://schemas.openxmlformats.org/officeDocument/2006/relationships/hyperlink" Target="https://www.unesco.org/en/articles/ai-competency-framework-students" TargetMode="External"/><Relationship Id="rId25" Type="http://schemas.openxmlformats.org/officeDocument/2006/relationships/hyperlink" Target="https://doi.org/10.3390/min11050533" TargetMode="External"/><Relationship Id="rId33" Type="http://schemas.openxmlformats.org/officeDocument/2006/relationships/hyperlink" Target="https://www.metso.com/globalassets/insights/ebooks/mo-basics-in-mineral-processing-handbook_lowres.pdf" TargetMode="External"/><Relationship Id="rId38" Type="http://schemas.openxmlformats.org/officeDocument/2006/relationships/hyperlink" Target="https://mdpi-res.com/bookfiles/book/4263/Comminution_in_the_Minerals_Industry.pdf?v=1737857030" TargetMode="External"/><Relationship Id="rId46" Type="http://schemas.openxmlformats.org/officeDocument/2006/relationships/hyperlink" Target="https://www.metso.com/globalassets/insights/ebooks/mo-basics-in-mineral-processing-handbook_lowres.pdf" TargetMode="External"/><Relationship Id="rId59" Type="http://schemas.openxmlformats.org/officeDocument/2006/relationships/hyperlink" Target="https://www.oranjemund-tc.com/page/about-us/" TargetMode="External"/><Relationship Id="rId20" Type="http://schemas.openxmlformats.org/officeDocument/2006/relationships/hyperlink" Target="https://www.gov.za/sites/default/files/gcis_document/202009/43730gen513.pdf" TargetMode="External"/><Relationship Id="rId41" Type="http://schemas.openxmlformats.org/officeDocument/2006/relationships/hyperlink" Target="https://smemi.personifycloud.com/PersonifyEbusiness/Store/SME-Mineral-Processing--Extractive-Metallurgy-Handbook/ProductDetail/2829543" TargetMode="External"/><Relationship Id="rId54" Type="http://schemas.openxmlformats.org/officeDocument/2006/relationships/hyperlink" Target="https://the-eis.com/elibrary/sites/default/files/downloads/literature/Best%20Practice%20Guide%20in%20Mining%20Part%204_Mining%20and%20Processing%20Operations_2019.pdf" TargetMode="External"/><Relationship Id="rId62" Type="http://schemas.openxmlformats.org/officeDocument/2006/relationships/hyperlink" Target="https://op.gov.na/documents/1697384/6465069/NDP6-Policy-Document.pdf/c4046436-f16c-ba9e-33d6-3263485e3522?t=175318978146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scielo.org.za/scielo.php?pid=S2957-79502025000300002&amp;script=sci_arttext" TargetMode="External"/><Relationship Id="rId23" Type="http://schemas.openxmlformats.org/officeDocument/2006/relationships/hyperlink" Target="https://smemi.personifycloud.com/PersonifyEbusiness/Store/SME-Mineral-Processing--Extractive-Metallurgy-Handbook/ProductDetail/2829543" TargetMode="External"/><Relationship Id="rId28" Type="http://schemas.openxmlformats.org/officeDocument/2006/relationships/hyperlink" Target="https://the-eis.com/elibrary/sites/default/files/downloads/literature/Best%20Practice%20Guide%20in%20Mining%20Part%204_Mining%20and%20Processing%20Operations_2019.pdf" TargetMode="External"/><Relationship Id="rId36" Type="http://schemas.openxmlformats.org/officeDocument/2006/relationships/hyperlink" Target="https://doi.org/10.3390/min11050533" TargetMode="External"/><Relationship Id="rId49" Type="http://schemas.openxmlformats.org/officeDocument/2006/relationships/hyperlink" Target="https://chamberofmines.org.na/wp-content/uploads/2024/04/2023-Chamber-of-Mines-Annual-Review.-Final-Web.pdf" TargetMode="External"/><Relationship Id="rId57" Type="http://schemas.openxmlformats.org/officeDocument/2006/relationships/hyperlink" Target="https://www.ilo.org/resource/other/code-practice-safety-and-health-opencast-mines" TargetMode="External"/><Relationship Id="rId10" Type="http://schemas.openxmlformats.org/officeDocument/2006/relationships/hyperlink" Target="https://www.vanschaiknet.com/catalogue/communicating-work/" TargetMode="External"/><Relationship Id="rId31" Type="http://schemas.openxmlformats.org/officeDocument/2006/relationships/hyperlink" Target="https://www.ilo.org/resource/other/code-practice-safety-and-health-opencast-mines" TargetMode="External"/><Relationship Id="rId44" Type="http://schemas.openxmlformats.org/officeDocument/2006/relationships/hyperlink" Target="https://chamberofmines.org.na/wp-content/uploads/2024/04/2023-Chamber-of-Mines-Annual-Review.-Final-Web.pdf" TargetMode="External"/><Relationship Id="rId52" Type="http://schemas.openxmlformats.org/officeDocument/2006/relationships/hyperlink" Target="https://www.metso.com/globalassets/insights/ebooks/mo-basics-in-mineral-processing-handbook_lowres.pdf" TargetMode="External"/><Relationship Id="rId60" Type="http://schemas.openxmlformats.org/officeDocument/2006/relationships/hyperlink" Target="https://www.npc.gov.na/wp-content/uploads/2021/11/vision_2030.pdf"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openstax.org/books/writing-guide/pages/1-unit-introduction" TargetMode="External"/><Relationship Id="rId18" Type="http://schemas.openxmlformats.org/officeDocument/2006/relationships/hyperlink" Target="https://www.unesco.org/en/articles/guidance-generative-ai-education-and-research" TargetMode="External"/><Relationship Id="rId39" Type="http://schemas.openxmlformats.org/officeDocument/2006/relationships/hyperlink" Target="https://stacks.cdc.gov/view/cdc/76769" TargetMode="External"/><Relationship Id="rId67" Type="http://schemas.openxmlformats.org/officeDocument/2006/relationships/hyperlink" Target="https://www.oranjemund-tc.com/assets/docs/about/Oranjemund_Strategic_Plan_2024-2029%20_6May2024.pdf" TargetMode="External"/><Relationship Id="rId68" Type="http://schemas.openxmlformats.org/officeDocument/2006/relationships/hyperlink" Target="https://www.eprocurement.gov.na/documents/46410/53646/Reference%2BGuide%2Bto%2BPublic%2BProcurement%2BV1.pdf/afa3bb68-c205-032d-7f8c-77d48c712c1c?t=1630660406146" TargetMode="External"/><Relationship Id="rId69" Type="http://schemas.openxmlformats.org/officeDocument/2006/relationships/hyperlink" Target="https://www.oecd.org/en/publications/oecd-public-integrity-handbook_ac8ed8e8-en.html" TargetMode="External"/><Relationship Id="rId70" Type="http://schemas.openxmlformats.org/officeDocument/2006/relationships/hyperlink" Target="https://www.oecd.org/en/publications/oecd-guidelines-for-citizen-participation-processes_f765caf6-en.html" TargetMode="External"/><Relationship Id="rId71" Type="http://schemas.openxmlformats.org/officeDocument/2006/relationships/hyperlink" Target="https://openstax.org/books/principles-management/pages/1-introduction" TargetMode="External"/><Relationship Id="rId72" Type="http://schemas.openxmlformats.org/officeDocument/2006/relationships/hyperlink" Target="https://unhabitat.org/finance-for-city-leaders-handbook-2nd-edition" TargetMode="External"/><Relationship Id="rId73" Type="http://schemas.openxmlformats.org/officeDocument/2006/relationships/hyperlink" Target="https://nan.gov.na/documents/3219017/3228296/Circular%2B1-Compilation%2Bof%2BFile%2BPlan.pdf/dcf38a99-1a0e-864a-7eb2-23c520527c45?t=1707289711955" TargetMode="External"/><Relationship Id="rId74" Type="http://schemas.openxmlformats.org/officeDocument/2006/relationships/hyperlink" Target="https://nan.gov.na/documents/3219017/3228296/Circular%2B3-Instructions%2Bfor%2BUse%2Bof%2BFile%2BPlan.pdf/8f031c33-f999-b48f-5c54-ed11657c6cad?t=1707289733282" TargetMode="External"/><Relationship Id="rId75" Type="http://schemas.openxmlformats.org/officeDocument/2006/relationships/hyperlink" Target="https://www.iso.org/standard/74294.html" TargetMode="External"/><Relationship Id="rId76" Type="http://schemas.openxmlformats.org/officeDocument/2006/relationships/hyperlink" Target="https://www.iso.org/standard/73172.html" TargetMode="External"/><Relationship Id="rId77" Type="http://schemas.openxmlformats.org/officeDocument/2006/relationships/hyperlink" Target="https://openstax.org/books/principles-financial-accounting/pages/1-why-it-matters" TargetMode="External"/><Relationship Id="rId78" Type="http://schemas.openxmlformats.org/officeDocument/2006/relationships/hyperlink" Target="https://openstax.org/books/principles-managerial-accounting/pages/1-why-it-matters" TargetMode="External"/><Relationship Id="rId79" Type="http://schemas.openxmlformats.org/officeDocument/2006/relationships/hyperlink" Target="https://unhabitat.org/the-global-urban-monitoring-framework" TargetMode="External"/><Relationship Id="rId80" Type="http://schemas.openxmlformats.org/officeDocument/2006/relationships/hyperlink" Target="https://www.oecd.org/en/publications/applying-evaluation-criteria-thoughtfully_543e84ed-en.html" TargetMode="External"/><Relationship Id="rId8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22</Pages>
  <Words>5479</Words>
  <Characters>31232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Certificate in Mineral Processing Operations Level 4 Qualification Structure</vt:lpstr>
    </vt:vector>
  </TitlesOfParts>
  <Manager/>
  <Company/>
  <LinksUpToDate>false</LinksUpToDate>
  <CharactersWithSpaces>36638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Qualification Structure - Diploma in Local Governance and Municipal Administration (Level 5)</dc:title>
  <dc:subject>Proposed qualification structure; not evidence of regulatory approval</dc:subject>
  <dc:creator>Oranjemund College</dc:creator>
  <cp:keywords>proposed; academic and industry validation; 80 credits; eight modules</cp:keywords>
  <dc:description>generated by python-docx</dc:description>
  <cp:lastModifiedBy>Oranjemund College</cp:lastModifiedBy>
  <cp:revision>19</cp:revision>
  <dcterms:created xsi:type="dcterms:W3CDTF">2013-12-23T23:15:00Z</dcterms:created>
  <dcterms:modified xsi:type="dcterms:W3CDTF">2026-10-28T21:56:00Z</dcterms:modified>
  <cp:category/>
</cp:coreProperties>
</file>