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lleg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371600" cy="121323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vtc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132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  <w:r>
        <w:rPr>
          <w:b/>
          <w:sz w:val="26"/>
        </w:rPr>
        <w:t>Oranjemund College and</w:t>
        <w:br/>
        <w:t>Vocational Training Centre</w:t>
      </w:r>
    </w:p>
    <w:p>
      <w:pPr>
        <w:pStyle w:val="Title"/>
        <w:jc w:val="center"/>
      </w:pPr>
      <w:r>
        <w:rPr>
          <w:b/>
          <w:sz w:val="36"/>
        </w:rPr>
        <w:t>Stakeholder Engagement Workshop</w:t>
      </w:r>
    </w:p>
    <w:p>
      <w:pPr>
        <w:jc w:val="center"/>
      </w:pPr>
      <w:r>
        <w:rPr>
          <w:b/>
          <w:color w:val="D75B08"/>
          <w:sz w:val="20"/>
        </w:rPr>
        <w:t>FINAL PROGRAMME</w:t>
      </w:r>
    </w:p>
    <w:p>
      <w:pPr>
        <w:jc w:val="center"/>
      </w:pPr>
      <w:r>
        <w:rPr>
          <w:b/>
        </w:rPr>
        <w:t>Thursday 5 November 2026  |  09:00–13:00  |  Youth Centre</w:t>
      </w:r>
    </w:p>
    <w:p>
      <w:pPr>
        <w:spacing w:after="160"/>
      </w:pPr>
      <w:r>
        <w:t>Purpose: To consult on the proposed establishment of the two institutions, trading as Oranjemund College and Vocational Training Centre, and develop evidence for the applicable regulatory processes.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8568"/>
      </w:tblGrid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02A46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Time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02A46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Session and discussion focus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09:00–09:15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Welcome and regulatory context</w:t>
            </w:r>
            <w:r>
              <w:rPr>
                <w:sz w:val="22"/>
              </w:rPr>
              <w:br/>
              <w:t>Record represented interests and distinguish incorporation, provider approval and qualification registration. Output: attendance and scope record. [R1–R5]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09:15–09:55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1  Vision and Mission</w:t>
            </w:r>
            <w:r>
              <w:rPr>
                <w:sz w:val="22"/>
              </w:rPr>
              <w:br/>
              <w:t>Review purpose and measurable goals against community skills needs. Output: revised statements and consultation record for governing-body consideration. [R3]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09:55–10:40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2  Establishment</w:t>
            </w:r>
            <w:r>
              <w:rPr>
                <w:sz w:val="22"/>
              </w:rPr>
              <w:br/>
              <w:t>Review legal entities, trading name, governance, premises, staffing and financial readiness. Output: institution-specific compliance gaps and evidence owners. [R1–R3, R5]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10:40–10:55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Refreshment break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10:55–11:45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3  Programmes</w:t>
            </w:r>
            <w:r>
              <w:rPr>
                <w:sz w:val="22"/>
              </w:rPr>
              <w:br/>
              <w:t>Review demand, outcomes, levels, credits, entry, assessment and delivery capacity. Output: programme-by-programme regulatory route and evidence gaps. [R2–R5]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11:45–12:20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Stakeholder feedback and recommendations</w:t>
            </w:r>
            <w:r>
              <w:rPr>
                <w:sz w:val="22"/>
              </w:rPr>
              <w:br/>
              <w:t>Capture support, concerns and proposed changes; identify missing national stakeholders. Output: consultation and response matrix. [R3, R4]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12:20–12:50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Agreed actions and way forward</w:t>
            </w:r>
            <w:r>
              <w:rPr>
                <w:sz w:val="22"/>
              </w:rPr>
              <w:br/>
              <w:t>Allocate document preparation, regulator clarification and submission responsibilities. Output: action register with owners, due dates and approval gates. [R1–R5]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2"/>
              </w:rPr>
              <w:t>12:50–13:00</w:t>
            </w:r>
          </w:p>
        </w:tc>
        <w:tc>
          <w:tcPr>
            <w:tcW w:type="dxa" w:w="85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after="0" w:line="240" w:lineRule="auto"/>
            </w:pPr>
            <w:r>
              <w:rPr>
                <w:b/>
                <w:sz w:val="22"/>
              </w:rPr>
              <w:t>Closing remarks and vote of thanks</w:t>
            </w:r>
            <w:r>
              <w:rPr>
                <w:sz w:val="22"/>
              </w:rPr>
              <w:br/>
              <w:t>Confirm minutes and next steps. Workshop recommendations do not confer registration, accreditation or permission to offer programmes. [R2–R5]</w:t>
            </w:r>
          </w:p>
        </w:tc>
      </w:tr>
    </w:tbl>
    <w:p>
      <w:pPr>
        <w:spacing w:before="120"/>
      </w:pPr>
      <w:r>
        <w:rPr>
          <w:sz w:val="18"/>
        </w:rPr>
        <w:t>Facilitation: Programme Director, institutional representatives and session facilitators. Regulatory references R1–R5 and evidence requirements appear in the annex.</w:t>
      </w:r>
    </w:p>
    <w:p>
      <w:r>
        <w:br w:type="page"/>
      </w:r>
    </w:p>
    <w:p>
      <w:pPr>
        <w:pStyle w:val="Title"/>
      </w:pPr>
      <w:r>
        <w:rPr>
          <w:b/>
          <w:sz w:val="34"/>
        </w:rPr>
        <w:t>Regulatory alignment and workshop evidence</w:t>
      </w:r>
    </w:p>
    <w:p>
      <w:r>
        <w:t>The references below identify distinct regulatory pathways. Confirm the applicable route for each institution, programme, delivery mode and site. Workshop outputs support applications; they are not regulatory decisions.</w:t>
      </w:r>
    </w:p>
    <w:p>
      <w:pPr>
        <w:pStyle w:val="Heading2"/>
        <w:keepNext/>
        <w:spacing w:before="140"/>
      </w:pPr>
      <w:r>
        <w:rPr>
          <w:b/>
          <w:sz w:val="22"/>
        </w:rPr>
        <w:t>R1  Legal establishment and accountable provider</w:t>
      </w:r>
    </w:p>
    <w:p>
      <w:pPr>
        <w:spacing w:after="60"/>
      </w:pPr>
      <w:r>
        <w:t>BIPA corporate registration establishes the legal entity, not education approval. Evidence to assemble: current founding documents, responsible entity for each proposed programme, governance responsibilities and the legal basis for the joint trading name. Do not treat two entities as one approved provider.</w:t>
      </w:r>
    </w:p>
    <w:p>
      <w:pPr>
        <w:spacing w:after="80"/>
      </w:pPr>
      <w:hyperlink r:id="rId11">
        <w:r>
          <w:rPr>
            <w:color w:val="102A46"/>
            <w:u w:val="single"/>
          </w:rPr>
          <w:t>BIPA close corporation guidance</w:t>
        </w:r>
      </w:hyperlink>
    </w:p>
    <w:p>
      <w:pPr>
        <w:pStyle w:val="Heading2"/>
        <w:keepNext/>
        <w:spacing w:before="140"/>
      </w:pPr>
      <w:r>
        <w:rPr>
          <w:b/>
          <w:sz w:val="22"/>
        </w:rPr>
        <w:t>R2  NTA registration for vocational education and training</w:t>
      </w:r>
    </w:p>
    <w:p>
      <w:pPr>
        <w:spacing w:after="60"/>
      </w:pPr>
      <w:r>
        <w:t>NTA states that providers within its VET scope must register before operating. Its registration process examines facilities, staff and health and safety compliance. Evidence to assemble: programme and site scope, staff credentials, equipment inventory and premises compliance documents. NTA registration and NQA accreditation are separate processes.</w:t>
      </w:r>
    </w:p>
    <w:p>
      <w:pPr>
        <w:spacing w:after="80"/>
      </w:pPr>
      <w:hyperlink r:id="rId12">
        <w:r>
          <w:rPr>
            <w:color w:val="102A46"/>
            <w:u w:val="single"/>
          </w:rPr>
          <w:t>NTA quality assurance</w:t>
        </w:r>
      </w:hyperlink>
      <w:r>
        <w:rPr>
          <w:sz w:val="20"/>
        </w:rPr>
        <w:t xml:space="preserve"> | </w:t>
      </w:r>
      <w:hyperlink r:id="rId13">
        <w:r>
          <w:rPr>
            <w:color w:val="102A46"/>
            <w:u w:val="single"/>
          </w:rPr>
          <w:t>NTA provider registration</w:t>
        </w:r>
      </w:hyperlink>
    </w:p>
    <w:p>
      <w:pPr>
        <w:pStyle w:val="Heading2"/>
        <w:keepNext/>
        <w:spacing w:before="140"/>
      </w:pPr>
      <w:r>
        <w:rPr>
          <w:b/>
          <w:sz w:val="22"/>
        </w:rPr>
        <w:t>R3  NQA accreditation and institutional capacity</w:t>
      </w:r>
    </w:p>
    <w:p>
      <w:pPr>
        <w:spacing w:after="60"/>
      </w:pPr>
      <w:r>
        <w:t>For applicants seeking NQA accreditation, GN 124/2006, regulation 3(3) and Annexure B require evidence against accreditation criteria. Element 1 connects mission, measurable goals, governing-body approval and stakeholder consultation. Elements 2.1–2.9 address governance, courses, access, staffing, resources, delivery, learner support, assessment and records. Evidence to assemble: revised goals, consultation minutes and a quality-management readiness matrix with document owners.</w:t>
      </w:r>
    </w:p>
    <w:p>
      <w:pPr>
        <w:spacing w:after="80"/>
      </w:pPr>
      <w:hyperlink r:id="rId14">
        <w:r>
          <w:rPr>
            <w:color w:val="102A46"/>
            <w:u w:val="single"/>
          </w:rPr>
          <w:t>NQA accreditation regulations and Annexure B</w:t>
        </w:r>
      </w:hyperlink>
    </w:p>
    <w:p>
      <w:pPr>
        <w:pStyle w:val="Heading2"/>
        <w:keepNext/>
        <w:spacing w:before="140"/>
      </w:pPr>
      <w:r>
        <w:rPr>
          <w:b/>
          <w:sz w:val="22"/>
        </w:rPr>
        <w:t>R4  NQF qualification registration</w:t>
      </w:r>
    </w:p>
    <w:p>
      <w:pPr>
        <w:spacing w:after="60"/>
      </w:pPr>
      <w:r>
        <w:t>GN 125/2006, regulation 8 and Annexure G distinguish qualification registration from provider approval. New qualification submissions require documented rationale and national stakeholder consultation. Evidence to assemble: programme titles, proposed levels, credits, outcomes and assessment approach; labour-market evidence; stakeholder feedback and responses. This local workshop alone does not establish complete national consultation. For existing qualifications, verify the registered version and the provider’s authorised delivery scope.</w:t>
      </w:r>
    </w:p>
    <w:p>
      <w:pPr>
        <w:spacing w:after="80"/>
      </w:pPr>
      <w:hyperlink r:id="rId15">
        <w:r>
          <w:rPr>
            <w:color w:val="102A46"/>
            <w:u w:val="single"/>
          </w:rPr>
          <w:t>NQF regulations and Annexure G</w:t>
        </w:r>
      </w:hyperlink>
    </w:p>
    <w:p>
      <w:pPr>
        <w:pStyle w:val="Heading2"/>
        <w:keepNext/>
        <w:spacing w:before="140"/>
      </w:pPr>
      <w:r>
        <w:rPr>
          <w:b/>
          <w:sz w:val="22"/>
        </w:rPr>
        <w:t>R5  Higher education registration where applicable</w:t>
      </w:r>
    </w:p>
    <w:p>
      <w:pPr>
        <w:spacing w:after="60"/>
      </w:pPr>
      <w:r>
        <w:t>The Higher Education Act 26 of 2003 excludes VET from its definition of higher education (section 1). For provision within higher education, section 22 requires registration; section 25 addresses facilities, financial capacity, staffing, programme quality and non-discrimination. Do not infer NCHE jurisdiction from the College name or NQF level alone. Evidence to assemble: programme-specific applicability questions and a registration dossier; clarify NCHE/NQA programme-quality requirements before launch.</w:t>
      </w:r>
    </w:p>
    <w:p>
      <w:pPr>
        <w:spacing w:after="80"/>
      </w:pPr>
      <w:hyperlink r:id="rId16">
        <w:r>
          <w:rPr>
            <w:color w:val="102A46"/>
            <w:u w:val="single"/>
          </w:rPr>
          <w:t>Higher Education Act sections 1 and 22–25</w:t>
        </w:r>
      </w:hyperlink>
    </w:p>
    <w:p>
      <w:pPr>
        <w:spacing w:before="140"/>
      </w:pPr>
      <w:r>
        <w:rPr>
          <w:b/>
        </w:rPr>
        <w:t>Recording and follow-up</w:t>
      </w:r>
    </w:p>
    <w:p>
      <w:r>
        <w:t>The rapporteur should retain attendance, agreed amendments, dissenting views, supporting evidence and an action register recording institution, requirement, gap, owner, due date and decision status. These are proposed evidence-management arrangements, not a claim that the workshop format itself is legally prescribed.</w:t>
      </w:r>
    </w:p>
    <w:p>
      <w:pPr>
        <w:spacing w:before="60"/>
      </w:pPr>
      <w:r>
        <w:rPr>
          <w:sz w:val="18"/>
        </w:rPr>
        <w:t>Official sources checked 2 November 2026. No current registration or accreditation status is certified by this programme.</w:t>
      </w:r>
    </w:p>
    <w:sectPr w:rsidR="00FC693F" w:rsidRPr="0006063C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www.bipa.na/business-registration/close-corporation/" TargetMode="External"/><Relationship Id="rId12" Type="http://schemas.openxmlformats.org/officeDocument/2006/relationships/hyperlink" Target="https://www.nta.com.na/quality-assurance/" TargetMode="External"/><Relationship Id="rId13" Type="http://schemas.openxmlformats.org/officeDocument/2006/relationships/hyperlink" Target="https://www.nta.com.na/registration-tp/" TargetMode="External"/><Relationship Id="rId14" Type="http://schemas.openxmlformats.org/officeDocument/2006/relationships/hyperlink" Target="https://namqa.org/wp-content/uploads/2024/04/REGULATIONS-FOR-THE-ACCREDITATION-1.pdf" TargetMode="External"/><Relationship Id="rId15" Type="http://schemas.openxmlformats.org/officeDocument/2006/relationships/hyperlink" Target="https://namqa.org/wp-content/uploads/2024/02/cd1_REGULATIONS-NATIONAL-QUALIFICATIONS-FRAMEWORK.pdf" TargetMode="External"/><Relationship Id="rId16" Type="http://schemas.openxmlformats.org/officeDocument/2006/relationships/hyperlink" Target="https://www.npc.gov.na/wp-content/uploads/2022/06/higher-education-f900e4d42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Oranjemund College and OVTC Stakeholder Engagement Workshop Programme</dc:title>
  <dc:subject>Final programme for Thursday 5 November 2026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